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A73B6" w14:textId="794D2B44" w:rsidR="00015376" w:rsidRPr="00CD729C" w:rsidRDefault="00015376" w:rsidP="007075EB">
      <w:pPr>
        <w:pStyle w:val="Subtitle"/>
        <w:rPr>
          <w:rStyle w:val="TitleChar"/>
          <w:b/>
        </w:rPr>
      </w:pPr>
      <w:bookmarkStart w:id="0" w:name="_GoBack"/>
      <w:bookmarkEnd w:id="0"/>
      <w:r w:rsidRPr="00CD729C">
        <w:rPr>
          <w:rStyle w:val="TitleChar"/>
          <w:b/>
        </w:rPr>
        <w:t xml:space="preserve">Review of </w:t>
      </w:r>
      <w:r w:rsidR="00DB35CC">
        <w:rPr>
          <w:rStyle w:val="TitleChar"/>
          <w:b/>
        </w:rPr>
        <w:t>Management Controls</w:t>
      </w:r>
      <w:r w:rsidRPr="00CD729C">
        <w:rPr>
          <w:rStyle w:val="TitleChar"/>
          <w:b/>
        </w:rPr>
        <w:t xml:space="preserve"> for </w:t>
      </w:r>
      <w:r w:rsidR="00D00D76">
        <w:rPr>
          <w:rStyle w:val="TitleChar"/>
          <w:b/>
        </w:rPr>
        <w:t xml:space="preserve">the </w:t>
      </w:r>
      <w:r w:rsidR="002C42CA">
        <w:rPr>
          <w:rStyle w:val="TitleChar"/>
          <w:b/>
        </w:rPr>
        <w:t xml:space="preserve">Scampi 2 </w:t>
      </w:r>
      <w:r w:rsidR="00D00D76">
        <w:rPr>
          <w:rStyle w:val="TitleChar"/>
          <w:b/>
        </w:rPr>
        <w:t xml:space="preserve">Fishery </w:t>
      </w:r>
      <w:r w:rsidR="002C42CA">
        <w:rPr>
          <w:rStyle w:val="TitleChar"/>
          <w:b/>
        </w:rPr>
        <w:t>(SCI 2</w:t>
      </w:r>
      <w:r w:rsidRPr="00CD729C">
        <w:rPr>
          <w:rStyle w:val="TitleChar"/>
          <w:b/>
        </w:rPr>
        <w:t>)</w:t>
      </w:r>
      <w:r w:rsidR="002C42CA">
        <w:rPr>
          <w:rStyle w:val="TitleChar"/>
          <w:b/>
        </w:rPr>
        <w:t xml:space="preserve"> in 2016</w:t>
      </w:r>
    </w:p>
    <w:p w14:paraId="4775E707" w14:textId="77777777" w:rsidR="007075EB" w:rsidRDefault="007075EB" w:rsidP="007075EB">
      <w:pPr>
        <w:pStyle w:val="ReturnAddress"/>
        <w:jc w:val="left"/>
        <w:rPr>
          <w:rFonts w:ascii="Arial Narrow" w:hAnsi="Arial Narrow"/>
          <w:color w:val="808080"/>
          <w:sz w:val="24"/>
        </w:rPr>
      </w:pPr>
    </w:p>
    <w:p w14:paraId="112CD103" w14:textId="7E1ED267" w:rsidR="007075EB" w:rsidRDefault="006C57DB" w:rsidP="007075EB">
      <w:pPr>
        <w:pStyle w:val="ISBN"/>
        <w:rPr>
          <w:lang w:val="en-AU"/>
        </w:rPr>
      </w:pPr>
      <w:r>
        <w:t xml:space="preserve">MPI </w:t>
      </w:r>
      <w:r w:rsidR="006D0580">
        <w:t>Discussion</w:t>
      </w:r>
      <w:r w:rsidR="007075EB">
        <w:t xml:space="preserve"> Paper</w:t>
      </w:r>
      <w:r w:rsidR="007869B3">
        <w:t xml:space="preserve"> </w:t>
      </w:r>
      <w:r w:rsidR="007075EB">
        <w:t xml:space="preserve">No: </w:t>
      </w:r>
      <w:r w:rsidR="007075EB">
        <w:rPr>
          <w:lang w:val="en-AU"/>
        </w:rPr>
        <w:t>20</w:t>
      </w:r>
      <w:r w:rsidR="007B752C">
        <w:rPr>
          <w:lang w:val="en-AU"/>
        </w:rPr>
        <w:t>1</w:t>
      </w:r>
      <w:r w:rsidR="0020484E">
        <w:rPr>
          <w:lang w:val="en-AU"/>
        </w:rPr>
        <w:t>6</w:t>
      </w:r>
      <w:r w:rsidR="002C42CA">
        <w:rPr>
          <w:lang w:val="en-AU"/>
        </w:rPr>
        <w:t>/</w:t>
      </w:r>
      <w:r w:rsidR="002E3232" w:rsidRPr="002E3232">
        <w:rPr>
          <w:lang w:val="en-AU"/>
        </w:rPr>
        <w:t>11</w:t>
      </w:r>
    </w:p>
    <w:p w14:paraId="7F5B0EEB" w14:textId="77777777" w:rsidR="007075EB" w:rsidRDefault="007075EB" w:rsidP="007075EB">
      <w:pPr>
        <w:pStyle w:val="ISBN"/>
      </w:pPr>
    </w:p>
    <w:p w14:paraId="63583B5D" w14:textId="77777777" w:rsidR="007075EB" w:rsidRDefault="007075EB" w:rsidP="007075EB">
      <w:pPr>
        <w:pStyle w:val="ISBN"/>
      </w:pPr>
    </w:p>
    <w:p w14:paraId="4AEA5180" w14:textId="77777777" w:rsidR="007075EB" w:rsidRDefault="007075EB" w:rsidP="007075EB">
      <w:pPr>
        <w:pStyle w:val="ISBN"/>
      </w:pPr>
    </w:p>
    <w:p w14:paraId="1A4578DD" w14:textId="77777777" w:rsidR="007075EB" w:rsidRDefault="007075EB" w:rsidP="007075EB">
      <w:pPr>
        <w:pStyle w:val="ISBN"/>
      </w:pPr>
    </w:p>
    <w:p w14:paraId="763A7632" w14:textId="77777777" w:rsidR="00B22359" w:rsidRDefault="00B22359" w:rsidP="00B22359">
      <w:pPr>
        <w:pStyle w:val="ISBN"/>
      </w:pPr>
      <w:r>
        <w:t xml:space="preserve">Prepared for consultation by the Ministry for Primary Industries </w:t>
      </w:r>
    </w:p>
    <w:p w14:paraId="3BD55A0B" w14:textId="77777777" w:rsidR="007075EB" w:rsidRDefault="007075EB" w:rsidP="007075EB">
      <w:pPr>
        <w:pStyle w:val="ISBN"/>
      </w:pPr>
    </w:p>
    <w:p w14:paraId="02EC37D5" w14:textId="77777777" w:rsidR="00B22359" w:rsidRDefault="00B22359" w:rsidP="007075EB">
      <w:pPr>
        <w:pStyle w:val="ISBN"/>
      </w:pPr>
    </w:p>
    <w:p w14:paraId="3B26A612" w14:textId="352226F8" w:rsidR="007075EB" w:rsidRDefault="007075EB" w:rsidP="007075EB">
      <w:pPr>
        <w:pStyle w:val="ISBN"/>
        <w:rPr>
          <w:spacing w:val="-3"/>
          <w:lang w:val="en-AU"/>
        </w:rPr>
      </w:pPr>
      <w:r>
        <w:t xml:space="preserve">ISBN No: </w:t>
      </w:r>
      <w:r w:rsidR="002E3232" w:rsidRPr="002E3232">
        <w:t>978-1-77665-267-9 (online)</w:t>
      </w:r>
    </w:p>
    <w:p w14:paraId="54BDC327" w14:textId="16377C01" w:rsidR="007075EB" w:rsidRDefault="007075EB" w:rsidP="007075EB">
      <w:pPr>
        <w:pStyle w:val="ISBN"/>
      </w:pPr>
      <w:r>
        <w:t xml:space="preserve">ISSN No: </w:t>
      </w:r>
      <w:r w:rsidR="002E3232" w:rsidRPr="002E3232">
        <w:t>2253-3907 (online)</w:t>
      </w:r>
    </w:p>
    <w:p w14:paraId="0EF48C02" w14:textId="77777777" w:rsidR="007075EB" w:rsidRDefault="007075EB" w:rsidP="007075EB">
      <w:pPr>
        <w:pStyle w:val="ReturnAddress"/>
        <w:jc w:val="left"/>
        <w:outlineLvl w:val="0"/>
        <w:rPr>
          <w:rFonts w:ascii="Arial Narrow" w:hAnsi="Arial Narrow"/>
          <w:sz w:val="24"/>
        </w:rPr>
      </w:pPr>
    </w:p>
    <w:p w14:paraId="56ABDE39" w14:textId="77777777" w:rsidR="007075EB" w:rsidRDefault="007075EB" w:rsidP="007075EB">
      <w:pPr>
        <w:pStyle w:val="ReturnAddress"/>
        <w:jc w:val="left"/>
        <w:rPr>
          <w:rFonts w:ascii="Arial Narrow" w:hAnsi="Arial Narrow"/>
          <w:sz w:val="24"/>
        </w:rPr>
      </w:pPr>
    </w:p>
    <w:p w14:paraId="1A792513" w14:textId="77777777" w:rsidR="007075EB" w:rsidRDefault="007075EB" w:rsidP="007075EB">
      <w:pPr>
        <w:pStyle w:val="ReturnAddress"/>
        <w:jc w:val="left"/>
        <w:rPr>
          <w:rFonts w:ascii="Arial Narrow" w:hAnsi="Arial Narrow"/>
          <w:sz w:val="24"/>
        </w:rPr>
      </w:pPr>
    </w:p>
    <w:p w14:paraId="349000C0" w14:textId="77777777" w:rsidR="007075EB" w:rsidRDefault="007075EB" w:rsidP="007075EB">
      <w:pPr>
        <w:pStyle w:val="ReturnAddress"/>
        <w:jc w:val="left"/>
        <w:outlineLvl w:val="0"/>
        <w:rPr>
          <w:rFonts w:ascii="Arial Narrow" w:hAnsi="Arial Narrow"/>
          <w:sz w:val="24"/>
        </w:rPr>
      </w:pPr>
    </w:p>
    <w:p w14:paraId="13799E18" w14:textId="0AC8566A" w:rsidR="00786686" w:rsidRPr="00471C3D" w:rsidRDefault="007A7E93" w:rsidP="00471C3D">
      <w:pPr>
        <w:pStyle w:val="Date-frontpage"/>
        <w:sectPr w:rsidR="00786686" w:rsidRPr="00471C3D" w:rsidSect="00B72DD3">
          <w:headerReference w:type="default" r:id="rId11"/>
          <w:footerReference w:type="default" r:id="rId12"/>
          <w:pgSz w:w="11906" w:h="16838" w:code="9"/>
          <w:pgMar w:top="7371" w:right="907" w:bottom="567" w:left="4876" w:header="720" w:footer="720" w:gutter="0"/>
          <w:cols w:space="720"/>
        </w:sectPr>
      </w:pPr>
      <w:r>
        <w:t>June</w:t>
      </w:r>
      <w:r w:rsidR="007075EB">
        <w:t xml:space="preserve"> 20</w:t>
      </w:r>
      <w:r w:rsidR="007B752C">
        <w:t>1</w:t>
      </w:r>
      <w:r w:rsidR="0020484E">
        <w:t>6</w:t>
      </w:r>
    </w:p>
    <w:p w14:paraId="3BB2B81D" w14:textId="77777777" w:rsidR="005D6337" w:rsidRDefault="005D6337" w:rsidP="005D6337">
      <w:pPr>
        <w:pStyle w:val="Disclaimer"/>
      </w:pPr>
      <w:r>
        <w:lastRenderedPageBreak/>
        <w:t>Disclaimer</w:t>
      </w:r>
    </w:p>
    <w:p w14:paraId="524E0F9E" w14:textId="77777777" w:rsidR="005D6337" w:rsidRPr="001C02C0" w:rsidRDefault="005D6337" w:rsidP="005D6337">
      <w:r w:rsidRPr="001C02C0">
        <w:t>The information in this publication is not government policy. While every effort has been made to ensure the information is accurate, the Ministry for Primary Industries does not accept any responsibility or liability for error of fact, omission, interpretation or opinion that may be present, nor for the consequences of any decisions based on this information. Any view or opinion expressed does not necessarily represent the view of the Ministry for Primary Industries.</w:t>
      </w:r>
    </w:p>
    <w:p w14:paraId="17BA0D7F" w14:textId="77777777" w:rsidR="005D6337" w:rsidRPr="001C02C0" w:rsidRDefault="005D6337" w:rsidP="005D6337">
      <w:pPr>
        <w:spacing w:afterLines="120" w:after="288" w:line="320" w:lineRule="exact"/>
      </w:pPr>
      <w:r w:rsidRPr="001C02C0">
        <w:t>Requests for further copies should be directed to:</w:t>
      </w:r>
    </w:p>
    <w:p w14:paraId="57A48698" w14:textId="77777777" w:rsidR="005D6337" w:rsidRPr="001C02C0" w:rsidRDefault="005D6337" w:rsidP="005D6337">
      <w:pPr>
        <w:spacing w:afterLines="120" w:after="288" w:line="320" w:lineRule="exact"/>
      </w:pPr>
      <w:r w:rsidRPr="001C02C0">
        <w:t>Publications Logistics Officer</w:t>
      </w:r>
      <w:r>
        <w:br/>
      </w:r>
      <w:r w:rsidRPr="001C02C0">
        <w:t>Ministry for Primary Industries</w:t>
      </w:r>
      <w:r>
        <w:br/>
      </w:r>
      <w:r w:rsidRPr="001C02C0">
        <w:t>PO Box 2526</w:t>
      </w:r>
      <w:r>
        <w:br/>
      </w:r>
      <w:r w:rsidRPr="001C02C0">
        <w:t>WELLINGTON 6140</w:t>
      </w:r>
    </w:p>
    <w:p w14:paraId="5DCC5DAB" w14:textId="77777777" w:rsidR="005D6337" w:rsidRPr="001C02C0" w:rsidRDefault="005D6337" w:rsidP="005D6337">
      <w:pPr>
        <w:spacing w:afterLines="120" w:after="288" w:line="320" w:lineRule="exact"/>
      </w:pPr>
      <w:r w:rsidRPr="001C02C0">
        <w:t xml:space="preserve">Email: </w:t>
      </w:r>
      <w:hyperlink r:id="rId13" w:history="1">
        <w:r w:rsidRPr="001C02C0">
          <w:rPr>
            <w:rStyle w:val="Hyperlink"/>
          </w:rPr>
          <w:t>brand@mpi.govt.nz</w:t>
        </w:r>
      </w:hyperlink>
      <w:r>
        <w:br/>
      </w:r>
      <w:r w:rsidRPr="001C02C0">
        <w:t>Telephone: 0800 00 83 33</w:t>
      </w:r>
      <w:r>
        <w:br/>
      </w:r>
      <w:r w:rsidRPr="001C02C0">
        <w:t>Facsimile: 04-894 0300</w:t>
      </w:r>
    </w:p>
    <w:p w14:paraId="04324AE8" w14:textId="77777777" w:rsidR="005D6337" w:rsidRPr="001C02C0" w:rsidRDefault="005D6337" w:rsidP="005D6337">
      <w:pPr>
        <w:spacing w:afterLines="120" w:after="288" w:line="320" w:lineRule="exact"/>
        <w:rPr>
          <w:rStyle w:val="Hyperlink"/>
        </w:rPr>
      </w:pPr>
      <w:r w:rsidRPr="001C02C0">
        <w:t xml:space="preserve">This publication is also available on the Ministry for Primary Industries website at </w:t>
      </w:r>
      <w:r>
        <w:br/>
      </w:r>
      <w:hyperlink r:id="rId14" w:history="1">
        <w:r w:rsidRPr="001C02C0">
          <w:rPr>
            <w:rStyle w:val="Hyperlink"/>
          </w:rPr>
          <w:t>http://www.mpi.govt.nz/news-resources/publications.aspx</w:t>
        </w:r>
      </w:hyperlink>
    </w:p>
    <w:p w14:paraId="18705B55" w14:textId="77777777" w:rsidR="005D6337" w:rsidRPr="00DF306F" w:rsidRDefault="005D6337" w:rsidP="005D6337">
      <w:pPr>
        <w:spacing w:afterLines="120" w:after="288" w:line="320" w:lineRule="exact"/>
        <w:rPr>
          <w:sz w:val="22"/>
          <w:szCs w:val="22"/>
        </w:rPr>
        <w:sectPr w:rsidR="005D6337" w:rsidRPr="00DF306F">
          <w:headerReference w:type="default" r:id="rId15"/>
          <w:footerReference w:type="even" r:id="rId16"/>
          <w:footerReference w:type="default" r:id="rId17"/>
          <w:footerReference w:type="first" r:id="rId18"/>
          <w:type w:val="oddPage"/>
          <w:pgSz w:w="11907" w:h="16840" w:code="9"/>
          <w:pgMar w:top="1134" w:right="1418" w:bottom="1134" w:left="1418" w:header="720" w:footer="720" w:gutter="0"/>
          <w:pgNumType w:fmt="lowerRoman" w:start="1"/>
          <w:cols w:space="720" w:equalWidth="0">
            <w:col w:w="9049"/>
          </w:cols>
        </w:sectPr>
      </w:pPr>
      <w:r w:rsidRPr="00DF306F">
        <w:rPr>
          <w:b/>
          <w:sz w:val="22"/>
          <w:szCs w:val="22"/>
        </w:rPr>
        <w:t>© Crown Copyright - Ministry for Primary Industries</w:t>
      </w:r>
      <w:r w:rsidRPr="00DF306F">
        <w:rPr>
          <w:sz w:val="22"/>
          <w:szCs w:val="22"/>
        </w:rPr>
        <w:t xml:space="preserve"> </w:t>
      </w:r>
    </w:p>
    <w:p w14:paraId="296C966F" w14:textId="77777777" w:rsidR="005D6337" w:rsidRDefault="005D6337">
      <w:pPr>
        <w:rPr>
          <w:rFonts w:ascii="Arial Narrow" w:hAnsi="Arial Narrow"/>
          <w:b/>
          <w:sz w:val="36"/>
        </w:rPr>
      </w:pPr>
    </w:p>
    <w:p w14:paraId="45D3EFE6" w14:textId="77777777" w:rsidR="00786686" w:rsidRDefault="00786686">
      <w:pPr>
        <w:pStyle w:val="Contents"/>
      </w:pPr>
      <w:r>
        <w:t>Contents</w:t>
      </w:r>
      <w:r>
        <w:tab/>
      </w:r>
      <w:r>
        <w:rPr>
          <w:sz w:val="24"/>
        </w:rPr>
        <w:t>Page</w:t>
      </w:r>
    </w:p>
    <w:p w14:paraId="6EA720A5" w14:textId="77777777" w:rsidR="00786686" w:rsidRDefault="00786686"/>
    <w:p w14:paraId="11723C7D" w14:textId="77777777" w:rsidR="002E3232" w:rsidRDefault="002E3232">
      <w:pPr>
        <w:pStyle w:val="TOC1"/>
        <w:rPr>
          <w:rFonts w:asciiTheme="minorHAnsi" w:eastAsiaTheme="minorEastAsia" w:hAnsiTheme="minorHAnsi" w:cstheme="minorBidi"/>
          <w:b w:val="0"/>
          <w:sz w:val="22"/>
          <w:szCs w:val="22"/>
          <w:lang w:eastAsia="en-NZ"/>
        </w:rPr>
      </w:pPr>
      <w:r>
        <w:fldChar w:fldCharType="begin"/>
      </w:r>
      <w:r>
        <w:instrText xml:space="preserve"> TOC \o "1-3" </w:instrText>
      </w:r>
      <w:r>
        <w:fldChar w:fldCharType="separate"/>
      </w:r>
      <w:r>
        <w:t>1</w:t>
      </w:r>
      <w:r>
        <w:rPr>
          <w:rFonts w:asciiTheme="minorHAnsi" w:eastAsiaTheme="minorEastAsia" w:hAnsiTheme="minorHAnsi" w:cstheme="minorBidi"/>
          <w:b w:val="0"/>
          <w:sz w:val="22"/>
          <w:szCs w:val="22"/>
          <w:lang w:eastAsia="en-NZ"/>
        </w:rPr>
        <w:tab/>
      </w:r>
      <w:r>
        <w:t>Submission Information</w:t>
      </w:r>
      <w:r>
        <w:tab/>
      </w:r>
      <w:r>
        <w:fldChar w:fldCharType="begin"/>
      </w:r>
      <w:r>
        <w:instrText xml:space="preserve"> PAGEREF _Toc453059194 \h </w:instrText>
      </w:r>
      <w:r>
        <w:fldChar w:fldCharType="separate"/>
      </w:r>
      <w:r>
        <w:t>1</w:t>
      </w:r>
      <w:r>
        <w:fldChar w:fldCharType="end"/>
      </w:r>
    </w:p>
    <w:p w14:paraId="668737E3" w14:textId="77777777" w:rsidR="002E3232" w:rsidRDefault="002E3232">
      <w:pPr>
        <w:pStyle w:val="TOC2"/>
        <w:rPr>
          <w:rFonts w:asciiTheme="minorHAnsi" w:eastAsiaTheme="minorEastAsia" w:hAnsiTheme="minorHAnsi" w:cstheme="minorBidi"/>
          <w:sz w:val="22"/>
          <w:szCs w:val="22"/>
          <w:lang w:eastAsia="en-NZ"/>
        </w:rPr>
      </w:pPr>
      <w:r>
        <w:t>1.1</w:t>
      </w:r>
      <w:r>
        <w:rPr>
          <w:rFonts w:asciiTheme="minorHAnsi" w:eastAsiaTheme="minorEastAsia" w:hAnsiTheme="minorHAnsi" w:cstheme="minorBidi"/>
          <w:sz w:val="22"/>
          <w:szCs w:val="22"/>
          <w:lang w:eastAsia="en-NZ"/>
        </w:rPr>
        <w:tab/>
      </w:r>
      <w:r>
        <w:t>Official Information Act 1982</w:t>
      </w:r>
      <w:r>
        <w:tab/>
      </w:r>
      <w:r>
        <w:fldChar w:fldCharType="begin"/>
      </w:r>
      <w:r>
        <w:instrText xml:space="preserve"> PAGEREF _Toc453059195 \h </w:instrText>
      </w:r>
      <w:r>
        <w:fldChar w:fldCharType="separate"/>
      </w:r>
      <w:r>
        <w:t>1</w:t>
      </w:r>
      <w:r>
        <w:fldChar w:fldCharType="end"/>
      </w:r>
    </w:p>
    <w:p w14:paraId="6C77F8CF" w14:textId="77777777" w:rsidR="002E3232" w:rsidRDefault="002E3232">
      <w:pPr>
        <w:pStyle w:val="TOC1"/>
        <w:rPr>
          <w:rFonts w:asciiTheme="minorHAnsi" w:eastAsiaTheme="minorEastAsia" w:hAnsiTheme="minorHAnsi" w:cstheme="minorBidi"/>
          <w:b w:val="0"/>
          <w:sz w:val="22"/>
          <w:szCs w:val="22"/>
          <w:lang w:eastAsia="en-NZ"/>
        </w:rPr>
      </w:pPr>
      <w:r>
        <w:t>2</w:t>
      </w:r>
      <w:r>
        <w:rPr>
          <w:rFonts w:asciiTheme="minorHAnsi" w:eastAsiaTheme="minorEastAsia" w:hAnsiTheme="minorHAnsi" w:cstheme="minorBidi"/>
          <w:b w:val="0"/>
          <w:sz w:val="22"/>
          <w:szCs w:val="22"/>
          <w:lang w:eastAsia="en-NZ"/>
        </w:rPr>
        <w:tab/>
      </w:r>
      <w:r>
        <w:t>Executive Summary</w:t>
      </w:r>
      <w:r>
        <w:tab/>
      </w:r>
      <w:r>
        <w:fldChar w:fldCharType="begin"/>
      </w:r>
      <w:r>
        <w:instrText xml:space="preserve"> PAGEREF _Toc453059196 \h </w:instrText>
      </w:r>
      <w:r>
        <w:fldChar w:fldCharType="separate"/>
      </w:r>
      <w:r>
        <w:t>2</w:t>
      </w:r>
      <w:r>
        <w:fldChar w:fldCharType="end"/>
      </w:r>
    </w:p>
    <w:p w14:paraId="51911097" w14:textId="77777777" w:rsidR="002E3232" w:rsidRDefault="002E3232">
      <w:pPr>
        <w:pStyle w:val="TOC1"/>
        <w:rPr>
          <w:rFonts w:asciiTheme="minorHAnsi" w:eastAsiaTheme="minorEastAsia" w:hAnsiTheme="minorHAnsi" w:cstheme="minorBidi"/>
          <w:b w:val="0"/>
          <w:sz w:val="22"/>
          <w:szCs w:val="22"/>
          <w:lang w:eastAsia="en-NZ"/>
        </w:rPr>
      </w:pPr>
      <w:r>
        <w:t>3</w:t>
      </w:r>
      <w:r>
        <w:rPr>
          <w:rFonts w:asciiTheme="minorHAnsi" w:eastAsiaTheme="minorEastAsia" w:hAnsiTheme="minorHAnsi" w:cstheme="minorBidi"/>
          <w:b w:val="0"/>
          <w:sz w:val="22"/>
          <w:szCs w:val="22"/>
          <w:lang w:eastAsia="en-NZ"/>
        </w:rPr>
        <w:tab/>
      </w:r>
      <w:r>
        <w:t>Purpose</w:t>
      </w:r>
      <w:r>
        <w:tab/>
      </w:r>
      <w:r>
        <w:fldChar w:fldCharType="begin"/>
      </w:r>
      <w:r>
        <w:instrText xml:space="preserve"> PAGEREF _Toc453059197 \h </w:instrText>
      </w:r>
      <w:r>
        <w:fldChar w:fldCharType="separate"/>
      </w:r>
      <w:r>
        <w:t>3</w:t>
      </w:r>
      <w:r>
        <w:fldChar w:fldCharType="end"/>
      </w:r>
    </w:p>
    <w:p w14:paraId="45364034" w14:textId="77777777" w:rsidR="002E3232" w:rsidRDefault="002E3232">
      <w:pPr>
        <w:pStyle w:val="TOC2"/>
        <w:rPr>
          <w:rFonts w:asciiTheme="minorHAnsi" w:eastAsiaTheme="minorEastAsia" w:hAnsiTheme="minorHAnsi" w:cstheme="minorBidi"/>
          <w:sz w:val="22"/>
          <w:szCs w:val="22"/>
          <w:lang w:eastAsia="en-NZ"/>
        </w:rPr>
      </w:pPr>
      <w:r>
        <w:t>3.1</w:t>
      </w:r>
      <w:r>
        <w:rPr>
          <w:rFonts w:asciiTheme="minorHAnsi" w:eastAsiaTheme="minorEastAsia" w:hAnsiTheme="minorHAnsi" w:cstheme="minorBidi"/>
          <w:sz w:val="22"/>
          <w:szCs w:val="22"/>
          <w:lang w:eastAsia="en-NZ"/>
        </w:rPr>
        <w:tab/>
      </w:r>
      <w:r>
        <w:t>Issue/Need for action</w:t>
      </w:r>
      <w:r>
        <w:tab/>
      </w:r>
      <w:r>
        <w:fldChar w:fldCharType="begin"/>
      </w:r>
      <w:r>
        <w:instrText xml:space="preserve"> PAGEREF _Toc453059198 \h </w:instrText>
      </w:r>
      <w:r>
        <w:fldChar w:fldCharType="separate"/>
      </w:r>
      <w:r>
        <w:t>3</w:t>
      </w:r>
      <w:r>
        <w:fldChar w:fldCharType="end"/>
      </w:r>
    </w:p>
    <w:p w14:paraId="4D49F271" w14:textId="77777777" w:rsidR="002E3232" w:rsidRDefault="002E3232">
      <w:pPr>
        <w:pStyle w:val="TOC2"/>
        <w:rPr>
          <w:rFonts w:asciiTheme="minorHAnsi" w:eastAsiaTheme="minorEastAsia" w:hAnsiTheme="minorHAnsi" w:cstheme="minorBidi"/>
          <w:sz w:val="22"/>
          <w:szCs w:val="22"/>
          <w:lang w:eastAsia="en-NZ"/>
        </w:rPr>
      </w:pPr>
      <w:r>
        <w:t>3.2</w:t>
      </w:r>
      <w:r>
        <w:rPr>
          <w:rFonts w:asciiTheme="minorHAnsi" w:eastAsiaTheme="minorEastAsia" w:hAnsiTheme="minorHAnsi" w:cstheme="minorBidi"/>
          <w:sz w:val="22"/>
          <w:szCs w:val="22"/>
          <w:lang w:eastAsia="en-NZ"/>
        </w:rPr>
        <w:tab/>
      </w:r>
      <w:r>
        <w:t>Management approach</w:t>
      </w:r>
      <w:r>
        <w:tab/>
      </w:r>
      <w:r>
        <w:fldChar w:fldCharType="begin"/>
      </w:r>
      <w:r>
        <w:instrText xml:space="preserve"> PAGEREF _Toc453059199 \h </w:instrText>
      </w:r>
      <w:r>
        <w:fldChar w:fldCharType="separate"/>
      </w:r>
      <w:r>
        <w:t>3</w:t>
      </w:r>
      <w:r>
        <w:fldChar w:fldCharType="end"/>
      </w:r>
    </w:p>
    <w:p w14:paraId="28E6B3F1" w14:textId="77777777" w:rsidR="002E3232" w:rsidRDefault="002E3232">
      <w:pPr>
        <w:pStyle w:val="TOC1"/>
        <w:rPr>
          <w:rFonts w:asciiTheme="minorHAnsi" w:eastAsiaTheme="minorEastAsia" w:hAnsiTheme="minorHAnsi" w:cstheme="minorBidi"/>
          <w:b w:val="0"/>
          <w:sz w:val="22"/>
          <w:szCs w:val="22"/>
          <w:lang w:eastAsia="en-NZ"/>
        </w:rPr>
      </w:pPr>
      <w:r>
        <w:t>4</w:t>
      </w:r>
      <w:r>
        <w:rPr>
          <w:rFonts w:asciiTheme="minorHAnsi" w:eastAsiaTheme="minorEastAsia" w:hAnsiTheme="minorHAnsi" w:cstheme="minorBidi"/>
          <w:b w:val="0"/>
          <w:sz w:val="22"/>
          <w:szCs w:val="22"/>
          <w:lang w:eastAsia="en-NZ"/>
        </w:rPr>
        <w:tab/>
      </w:r>
      <w:r>
        <w:t>Background Information</w:t>
      </w:r>
      <w:r>
        <w:tab/>
      </w:r>
      <w:r>
        <w:fldChar w:fldCharType="begin"/>
      </w:r>
      <w:r>
        <w:instrText xml:space="preserve"> PAGEREF _Toc453059200 \h </w:instrText>
      </w:r>
      <w:r>
        <w:fldChar w:fldCharType="separate"/>
      </w:r>
      <w:r>
        <w:t>4</w:t>
      </w:r>
      <w:r>
        <w:fldChar w:fldCharType="end"/>
      </w:r>
    </w:p>
    <w:p w14:paraId="3591E4B1" w14:textId="77777777" w:rsidR="002E3232" w:rsidRDefault="002E3232">
      <w:pPr>
        <w:pStyle w:val="TOC2"/>
        <w:rPr>
          <w:rFonts w:asciiTheme="minorHAnsi" w:eastAsiaTheme="minorEastAsia" w:hAnsiTheme="minorHAnsi" w:cstheme="minorBidi"/>
          <w:sz w:val="22"/>
          <w:szCs w:val="22"/>
          <w:lang w:eastAsia="en-NZ"/>
        </w:rPr>
      </w:pPr>
      <w:r>
        <w:t>4.1</w:t>
      </w:r>
      <w:r>
        <w:rPr>
          <w:rFonts w:asciiTheme="minorHAnsi" w:eastAsiaTheme="minorEastAsia" w:hAnsiTheme="minorHAnsi" w:cstheme="minorBidi"/>
          <w:sz w:val="22"/>
          <w:szCs w:val="22"/>
          <w:lang w:eastAsia="en-NZ"/>
        </w:rPr>
        <w:tab/>
      </w:r>
      <w:r>
        <w:t>Biological characteristics of scampi</w:t>
      </w:r>
      <w:r>
        <w:tab/>
      </w:r>
      <w:r>
        <w:fldChar w:fldCharType="begin"/>
      </w:r>
      <w:r>
        <w:instrText xml:space="preserve"> PAGEREF _Toc453059201 \h </w:instrText>
      </w:r>
      <w:r>
        <w:fldChar w:fldCharType="separate"/>
      </w:r>
      <w:r>
        <w:t>4</w:t>
      </w:r>
      <w:r>
        <w:fldChar w:fldCharType="end"/>
      </w:r>
    </w:p>
    <w:p w14:paraId="38FF205C" w14:textId="77777777" w:rsidR="002E3232" w:rsidRDefault="002E3232">
      <w:pPr>
        <w:pStyle w:val="TOC2"/>
        <w:rPr>
          <w:rFonts w:asciiTheme="minorHAnsi" w:eastAsiaTheme="minorEastAsia" w:hAnsiTheme="minorHAnsi" w:cstheme="minorBidi"/>
          <w:sz w:val="22"/>
          <w:szCs w:val="22"/>
          <w:lang w:eastAsia="en-NZ"/>
        </w:rPr>
      </w:pPr>
      <w:r>
        <w:t>4.2</w:t>
      </w:r>
      <w:r>
        <w:rPr>
          <w:rFonts w:asciiTheme="minorHAnsi" w:eastAsiaTheme="minorEastAsia" w:hAnsiTheme="minorHAnsi" w:cstheme="minorBidi"/>
          <w:sz w:val="22"/>
          <w:szCs w:val="22"/>
          <w:lang w:eastAsia="en-NZ"/>
        </w:rPr>
        <w:tab/>
      </w:r>
      <w:r>
        <w:t>Fishery description</w:t>
      </w:r>
      <w:r>
        <w:tab/>
      </w:r>
      <w:r>
        <w:fldChar w:fldCharType="begin"/>
      </w:r>
      <w:r>
        <w:instrText xml:space="preserve"> PAGEREF _Toc453059202 \h </w:instrText>
      </w:r>
      <w:r>
        <w:fldChar w:fldCharType="separate"/>
      </w:r>
      <w:r>
        <w:t>4</w:t>
      </w:r>
      <w:r>
        <w:fldChar w:fldCharType="end"/>
      </w:r>
    </w:p>
    <w:p w14:paraId="2E893CE5" w14:textId="77777777" w:rsidR="002E3232" w:rsidRDefault="002E3232">
      <w:pPr>
        <w:pStyle w:val="TOC2"/>
        <w:rPr>
          <w:rFonts w:asciiTheme="minorHAnsi" w:eastAsiaTheme="minorEastAsia" w:hAnsiTheme="minorHAnsi" w:cstheme="minorBidi"/>
          <w:sz w:val="22"/>
          <w:szCs w:val="22"/>
          <w:lang w:eastAsia="en-NZ"/>
        </w:rPr>
      </w:pPr>
      <w:r>
        <w:t>4.3</w:t>
      </w:r>
      <w:r>
        <w:rPr>
          <w:rFonts w:asciiTheme="minorHAnsi" w:eastAsiaTheme="minorEastAsia" w:hAnsiTheme="minorHAnsi" w:cstheme="minorBidi"/>
          <w:sz w:val="22"/>
          <w:szCs w:val="22"/>
          <w:lang w:eastAsia="en-NZ"/>
        </w:rPr>
        <w:tab/>
      </w:r>
      <w:r>
        <w:t>Previous review</w:t>
      </w:r>
      <w:r>
        <w:tab/>
      </w:r>
      <w:r>
        <w:fldChar w:fldCharType="begin"/>
      </w:r>
      <w:r>
        <w:instrText xml:space="preserve"> PAGEREF _Toc453059203 \h </w:instrText>
      </w:r>
      <w:r>
        <w:fldChar w:fldCharType="separate"/>
      </w:r>
      <w:r>
        <w:t>5</w:t>
      </w:r>
      <w:r>
        <w:fldChar w:fldCharType="end"/>
      </w:r>
    </w:p>
    <w:p w14:paraId="61F1DE01" w14:textId="77777777" w:rsidR="002E3232" w:rsidRDefault="002E3232">
      <w:pPr>
        <w:pStyle w:val="TOC2"/>
        <w:rPr>
          <w:rFonts w:asciiTheme="minorHAnsi" w:eastAsiaTheme="minorEastAsia" w:hAnsiTheme="minorHAnsi" w:cstheme="minorBidi"/>
          <w:sz w:val="22"/>
          <w:szCs w:val="22"/>
          <w:lang w:eastAsia="en-NZ"/>
        </w:rPr>
      </w:pPr>
      <w:r>
        <w:t>4.4</w:t>
      </w:r>
      <w:r>
        <w:rPr>
          <w:rFonts w:asciiTheme="minorHAnsi" w:eastAsiaTheme="minorEastAsia" w:hAnsiTheme="minorHAnsi" w:cstheme="minorBidi"/>
          <w:sz w:val="22"/>
          <w:szCs w:val="22"/>
          <w:lang w:eastAsia="en-NZ"/>
        </w:rPr>
        <w:tab/>
      </w:r>
      <w:r>
        <w:t>New information</w:t>
      </w:r>
      <w:r>
        <w:tab/>
      </w:r>
      <w:r>
        <w:fldChar w:fldCharType="begin"/>
      </w:r>
      <w:r>
        <w:instrText xml:space="preserve"> PAGEREF _Toc453059204 \h </w:instrText>
      </w:r>
      <w:r>
        <w:fldChar w:fldCharType="separate"/>
      </w:r>
      <w:r>
        <w:t>6</w:t>
      </w:r>
      <w:r>
        <w:fldChar w:fldCharType="end"/>
      </w:r>
    </w:p>
    <w:p w14:paraId="16DEAAC7" w14:textId="77777777" w:rsidR="002E3232" w:rsidRDefault="002E3232">
      <w:pPr>
        <w:pStyle w:val="TOC1"/>
        <w:rPr>
          <w:rFonts w:asciiTheme="minorHAnsi" w:eastAsiaTheme="minorEastAsia" w:hAnsiTheme="minorHAnsi" w:cstheme="minorBidi"/>
          <w:b w:val="0"/>
          <w:sz w:val="22"/>
          <w:szCs w:val="22"/>
          <w:lang w:eastAsia="en-NZ"/>
        </w:rPr>
      </w:pPr>
      <w:r>
        <w:t>5</w:t>
      </w:r>
      <w:r>
        <w:rPr>
          <w:rFonts w:asciiTheme="minorHAnsi" w:eastAsiaTheme="minorEastAsia" w:hAnsiTheme="minorHAnsi" w:cstheme="minorBidi"/>
          <w:b w:val="0"/>
          <w:sz w:val="22"/>
          <w:szCs w:val="22"/>
          <w:lang w:eastAsia="en-NZ"/>
        </w:rPr>
        <w:tab/>
      </w:r>
      <w:r>
        <w:t>Legal Considerations</w:t>
      </w:r>
      <w:r>
        <w:tab/>
      </w:r>
      <w:r>
        <w:fldChar w:fldCharType="begin"/>
      </w:r>
      <w:r>
        <w:instrText xml:space="preserve"> PAGEREF _Toc453059205 \h </w:instrText>
      </w:r>
      <w:r>
        <w:fldChar w:fldCharType="separate"/>
      </w:r>
      <w:r>
        <w:t>7</w:t>
      </w:r>
      <w:r>
        <w:fldChar w:fldCharType="end"/>
      </w:r>
    </w:p>
    <w:p w14:paraId="774A42AC" w14:textId="77777777" w:rsidR="002E3232" w:rsidRDefault="002E3232">
      <w:pPr>
        <w:pStyle w:val="TOC2"/>
        <w:rPr>
          <w:rFonts w:asciiTheme="minorHAnsi" w:eastAsiaTheme="minorEastAsia" w:hAnsiTheme="minorHAnsi" w:cstheme="minorBidi"/>
          <w:sz w:val="22"/>
          <w:szCs w:val="22"/>
          <w:lang w:eastAsia="en-NZ"/>
        </w:rPr>
      </w:pPr>
      <w:r>
        <w:t>5.1</w:t>
      </w:r>
      <w:r>
        <w:rPr>
          <w:rFonts w:asciiTheme="minorHAnsi" w:eastAsiaTheme="minorEastAsia" w:hAnsiTheme="minorHAnsi" w:cstheme="minorBidi"/>
          <w:sz w:val="22"/>
          <w:szCs w:val="22"/>
          <w:lang w:eastAsia="en-NZ"/>
        </w:rPr>
        <w:tab/>
      </w:r>
      <w:r>
        <w:t>Setting management measures</w:t>
      </w:r>
      <w:r>
        <w:tab/>
      </w:r>
      <w:r>
        <w:fldChar w:fldCharType="begin"/>
      </w:r>
      <w:r>
        <w:instrText xml:space="preserve"> PAGEREF _Toc453059206 \h </w:instrText>
      </w:r>
      <w:r>
        <w:fldChar w:fldCharType="separate"/>
      </w:r>
      <w:r>
        <w:t>7</w:t>
      </w:r>
      <w:r>
        <w:fldChar w:fldCharType="end"/>
      </w:r>
    </w:p>
    <w:p w14:paraId="76ECAB08" w14:textId="77777777" w:rsidR="002E3232" w:rsidRDefault="002E3232">
      <w:pPr>
        <w:pStyle w:val="TOC2"/>
        <w:rPr>
          <w:rFonts w:asciiTheme="minorHAnsi" w:eastAsiaTheme="minorEastAsia" w:hAnsiTheme="minorHAnsi" w:cstheme="minorBidi"/>
          <w:sz w:val="22"/>
          <w:szCs w:val="22"/>
          <w:lang w:eastAsia="en-NZ"/>
        </w:rPr>
      </w:pPr>
      <w:r>
        <w:t>5.2</w:t>
      </w:r>
      <w:r>
        <w:rPr>
          <w:rFonts w:asciiTheme="minorHAnsi" w:eastAsiaTheme="minorEastAsia" w:hAnsiTheme="minorHAnsi" w:cstheme="minorBidi"/>
          <w:sz w:val="22"/>
          <w:szCs w:val="22"/>
          <w:lang w:eastAsia="en-NZ"/>
        </w:rPr>
        <w:tab/>
      </w:r>
      <w:r>
        <w:t>Key considerations</w:t>
      </w:r>
      <w:r>
        <w:tab/>
      </w:r>
      <w:r>
        <w:fldChar w:fldCharType="begin"/>
      </w:r>
      <w:r>
        <w:instrText xml:space="preserve"> PAGEREF _Toc453059207 \h </w:instrText>
      </w:r>
      <w:r>
        <w:fldChar w:fldCharType="separate"/>
      </w:r>
      <w:r>
        <w:t>7</w:t>
      </w:r>
      <w:r>
        <w:fldChar w:fldCharType="end"/>
      </w:r>
    </w:p>
    <w:p w14:paraId="706A3722" w14:textId="77777777" w:rsidR="002E3232" w:rsidRDefault="002E3232">
      <w:pPr>
        <w:pStyle w:val="TOC3"/>
        <w:tabs>
          <w:tab w:val="left" w:pos="1320"/>
          <w:tab w:val="right" w:pos="9039"/>
        </w:tabs>
        <w:rPr>
          <w:rFonts w:asciiTheme="minorHAnsi" w:eastAsiaTheme="minorEastAsia" w:hAnsiTheme="minorHAnsi" w:cstheme="minorBidi"/>
          <w:noProof/>
          <w:sz w:val="22"/>
          <w:szCs w:val="22"/>
          <w:lang w:eastAsia="en-NZ"/>
        </w:rPr>
      </w:pPr>
      <w:r>
        <w:rPr>
          <w:noProof/>
        </w:rPr>
        <w:t>5.2.1</w:t>
      </w:r>
      <w:r>
        <w:rPr>
          <w:rFonts w:asciiTheme="minorHAnsi" w:eastAsiaTheme="minorEastAsia" w:hAnsiTheme="minorHAnsi" w:cstheme="minorBidi"/>
          <w:noProof/>
          <w:sz w:val="22"/>
          <w:szCs w:val="22"/>
          <w:lang w:eastAsia="en-NZ"/>
        </w:rPr>
        <w:tab/>
      </w:r>
      <w:r>
        <w:rPr>
          <w:noProof/>
        </w:rPr>
        <w:t>Interdependence of stocks</w:t>
      </w:r>
      <w:r>
        <w:rPr>
          <w:noProof/>
        </w:rPr>
        <w:tab/>
      </w:r>
      <w:r>
        <w:rPr>
          <w:noProof/>
        </w:rPr>
        <w:fldChar w:fldCharType="begin"/>
      </w:r>
      <w:r>
        <w:rPr>
          <w:noProof/>
        </w:rPr>
        <w:instrText xml:space="preserve"> PAGEREF _Toc453059208 \h </w:instrText>
      </w:r>
      <w:r>
        <w:rPr>
          <w:noProof/>
        </w:rPr>
      </w:r>
      <w:r>
        <w:rPr>
          <w:noProof/>
        </w:rPr>
        <w:fldChar w:fldCharType="separate"/>
      </w:r>
      <w:r>
        <w:rPr>
          <w:noProof/>
        </w:rPr>
        <w:t>7</w:t>
      </w:r>
      <w:r>
        <w:rPr>
          <w:noProof/>
        </w:rPr>
        <w:fldChar w:fldCharType="end"/>
      </w:r>
    </w:p>
    <w:p w14:paraId="35D1FC7A" w14:textId="77777777" w:rsidR="002E3232" w:rsidRDefault="002E3232">
      <w:pPr>
        <w:pStyle w:val="TOC3"/>
        <w:tabs>
          <w:tab w:val="left" w:pos="1320"/>
          <w:tab w:val="right" w:pos="9039"/>
        </w:tabs>
        <w:rPr>
          <w:rFonts w:asciiTheme="minorHAnsi" w:eastAsiaTheme="minorEastAsia" w:hAnsiTheme="minorHAnsi" w:cstheme="minorBidi"/>
          <w:noProof/>
          <w:sz w:val="22"/>
          <w:szCs w:val="22"/>
          <w:lang w:eastAsia="en-NZ"/>
        </w:rPr>
      </w:pPr>
      <w:r>
        <w:rPr>
          <w:noProof/>
        </w:rPr>
        <w:t>5.2.2</w:t>
      </w:r>
      <w:r>
        <w:rPr>
          <w:rFonts w:asciiTheme="minorHAnsi" w:eastAsiaTheme="minorEastAsia" w:hAnsiTheme="minorHAnsi" w:cstheme="minorBidi"/>
          <w:noProof/>
          <w:sz w:val="22"/>
          <w:szCs w:val="22"/>
          <w:lang w:eastAsia="en-NZ"/>
        </w:rPr>
        <w:tab/>
      </w:r>
      <w:r>
        <w:rPr>
          <w:noProof/>
        </w:rPr>
        <w:t>Protected species interactions</w:t>
      </w:r>
      <w:r>
        <w:rPr>
          <w:noProof/>
        </w:rPr>
        <w:tab/>
      </w:r>
      <w:r>
        <w:rPr>
          <w:noProof/>
        </w:rPr>
        <w:fldChar w:fldCharType="begin"/>
      </w:r>
      <w:r>
        <w:rPr>
          <w:noProof/>
        </w:rPr>
        <w:instrText xml:space="preserve"> PAGEREF _Toc453059209 \h </w:instrText>
      </w:r>
      <w:r>
        <w:rPr>
          <w:noProof/>
        </w:rPr>
      </w:r>
      <w:r>
        <w:rPr>
          <w:noProof/>
        </w:rPr>
        <w:fldChar w:fldCharType="separate"/>
      </w:r>
      <w:r>
        <w:rPr>
          <w:noProof/>
        </w:rPr>
        <w:t>8</w:t>
      </w:r>
      <w:r>
        <w:rPr>
          <w:noProof/>
        </w:rPr>
        <w:fldChar w:fldCharType="end"/>
      </w:r>
    </w:p>
    <w:p w14:paraId="53CFA82A" w14:textId="77777777" w:rsidR="002E3232" w:rsidRDefault="002E3232">
      <w:pPr>
        <w:pStyle w:val="TOC3"/>
        <w:tabs>
          <w:tab w:val="left" w:pos="1320"/>
          <w:tab w:val="right" w:pos="9039"/>
        </w:tabs>
        <w:rPr>
          <w:rFonts w:asciiTheme="minorHAnsi" w:eastAsiaTheme="minorEastAsia" w:hAnsiTheme="minorHAnsi" w:cstheme="minorBidi"/>
          <w:noProof/>
          <w:sz w:val="22"/>
          <w:szCs w:val="22"/>
          <w:lang w:eastAsia="en-NZ"/>
        </w:rPr>
      </w:pPr>
      <w:r w:rsidRPr="009364BE">
        <w:rPr>
          <w:rFonts w:eastAsia="Calibri"/>
          <w:noProof/>
        </w:rPr>
        <w:t>5.2.3</w:t>
      </w:r>
      <w:r>
        <w:rPr>
          <w:rFonts w:asciiTheme="minorHAnsi" w:eastAsiaTheme="minorEastAsia" w:hAnsiTheme="minorHAnsi" w:cstheme="minorBidi"/>
          <w:noProof/>
          <w:sz w:val="22"/>
          <w:szCs w:val="22"/>
          <w:lang w:eastAsia="en-NZ"/>
        </w:rPr>
        <w:tab/>
      </w:r>
      <w:r>
        <w:rPr>
          <w:noProof/>
        </w:rPr>
        <w:t>Benthic impacts</w:t>
      </w:r>
      <w:r>
        <w:rPr>
          <w:noProof/>
        </w:rPr>
        <w:tab/>
      </w:r>
      <w:r>
        <w:rPr>
          <w:noProof/>
        </w:rPr>
        <w:fldChar w:fldCharType="begin"/>
      </w:r>
      <w:r>
        <w:rPr>
          <w:noProof/>
        </w:rPr>
        <w:instrText xml:space="preserve"> PAGEREF _Toc453059210 \h </w:instrText>
      </w:r>
      <w:r>
        <w:rPr>
          <w:noProof/>
        </w:rPr>
      </w:r>
      <w:r>
        <w:rPr>
          <w:noProof/>
        </w:rPr>
        <w:fldChar w:fldCharType="separate"/>
      </w:r>
      <w:r>
        <w:rPr>
          <w:noProof/>
        </w:rPr>
        <w:t>8</w:t>
      </w:r>
      <w:r>
        <w:rPr>
          <w:noProof/>
        </w:rPr>
        <w:fldChar w:fldCharType="end"/>
      </w:r>
    </w:p>
    <w:p w14:paraId="607336E9" w14:textId="77777777" w:rsidR="002E3232" w:rsidRDefault="002E3232">
      <w:pPr>
        <w:pStyle w:val="TOC1"/>
        <w:rPr>
          <w:rFonts w:asciiTheme="minorHAnsi" w:eastAsiaTheme="minorEastAsia" w:hAnsiTheme="minorHAnsi" w:cstheme="minorBidi"/>
          <w:b w:val="0"/>
          <w:sz w:val="22"/>
          <w:szCs w:val="22"/>
          <w:lang w:eastAsia="en-NZ"/>
        </w:rPr>
      </w:pPr>
      <w:r>
        <w:t>6</w:t>
      </w:r>
      <w:r>
        <w:rPr>
          <w:rFonts w:asciiTheme="minorHAnsi" w:eastAsiaTheme="minorEastAsia" w:hAnsiTheme="minorHAnsi" w:cstheme="minorBidi"/>
          <w:b w:val="0"/>
          <w:sz w:val="22"/>
          <w:szCs w:val="22"/>
          <w:lang w:eastAsia="en-NZ"/>
        </w:rPr>
        <w:tab/>
      </w:r>
      <w:r>
        <w:t>Proposed Options</w:t>
      </w:r>
      <w:r>
        <w:tab/>
      </w:r>
      <w:r>
        <w:fldChar w:fldCharType="begin"/>
      </w:r>
      <w:r>
        <w:instrText xml:space="preserve"> PAGEREF _Toc453059211 \h </w:instrText>
      </w:r>
      <w:r>
        <w:fldChar w:fldCharType="separate"/>
      </w:r>
      <w:r>
        <w:t>9</w:t>
      </w:r>
      <w:r>
        <w:fldChar w:fldCharType="end"/>
      </w:r>
    </w:p>
    <w:p w14:paraId="3F0E78D0" w14:textId="77777777" w:rsidR="002E3232" w:rsidRDefault="002E3232">
      <w:pPr>
        <w:pStyle w:val="TOC2"/>
        <w:rPr>
          <w:rFonts w:asciiTheme="minorHAnsi" w:eastAsiaTheme="minorEastAsia" w:hAnsiTheme="minorHAnsi" w:cstheme="minorBidi"/>
          <w:sz w:val="22"/>
          <w:szCs w:val="22"/>
          <w:lang w:eastAsia="en-NZ"/>
        </w:rPr>
      </w:pPr>
      <w:r>
        <w:t>6.1</w:t>
      </w:r>
      <w:r>
        <w:rPr>
          <w:rFonts w:asciiTheme="minorHAnsi" w:eastAsiaTheme="minorEastAsia" w:hAnsiTheme="minorHAnsi" w:cstheme="minorBidi"/>
          <w:sz w:val="22"/>
          <w:szCs w:val="22"/>
          <w:lang w:eastAsia="en-NZ"/>
        </w:rPr>
        <w:tab/>
      </w:r>
      <w:r>
        <w:t>Option 1 (Status quo)</w:t>
      </w:r>
      <w:r>
        <w:tab/>
      </w:r>
      <w:r>
        <w:fldChar w:fldCharType="begin"/>
      </w:r>
      <w:r>
        <w:instrText xml:space="preserve"> PAGEREF _Toc453059212 \h </w:instrText>
      </w:r>
      <w:r>
        <w:fldChar w:fldCharType="separate"/>
      </w:r>
      <w:r>
        <w:t>9</w:t>
      </w:r>
      <w:r>
        <w:fldChar w:fldCharType="end"/>
      </w:r>
    </w:p>
    <w:p w14:paraId="293D9A2E" w14:textId="77777777" w:rsidR="002E3232" w:rsidRDefault="002E3232">
      <w:pPr>
        <w:pStyle w:val="TOC2"/>
        <w:rPr>
          <w:rFonts w:asciiTheme="minorHAnsi" w:eastAsiaTheme="minorEastAsia" w:hAnsiTheme="minorHAnsi" w:cstheme="minorBidi"/>
          <w:sz w:val="22"/>
          <w:szCs w:val="22"/>
          <w:lang w:eastAsia="en-NZ"/>
        </w:rPr>
      </w:pPr>
      <w:r>
        <w:t>6.2</w:t>
      </w:r>
      <w:r>
        <w:rPr>
          <w:rFonts w:asciiTheme="minorHAnsi" w:eastAsiaTheme="minorEastAsia" w:hAnsiTheme="minorHAnsi" w:cstheme="minorBidi"/>
          <w:sz w:val="22"/>
          <w:szCs w:val="22"/>
          <w:lang w:eastAsia="en-NZ"/>
        </w:rPr>
        <w:tab/>
      </w:r>
      <w:r>
        <w:t>Option 2</w:t>
      </w:r>
      <w:r>
        <w:tab/>
      </w:r>
      <w:r>
        <w:fldChar w:fldCharType="begin"/>
      </w:r>
      <w:r>
        <w:instrText xml:space="preserve"> PAGEREF _Toc453059213 \h </w:instrText>
      </w:r>
      <w:r>
        <w:fldChar w:fldCharType="separate"/>
      </w:r>
      <w:r>
        <w:t>10</w:t>
      </w:r>
      <w:r>
        <w:fldChar w:fldCharType="end"/>
      </w:r>
    </w:p>
    <w:p w14:paraId="3B50AFA7" w14:textId="77777777" w:rsidR="002E3232" w:rsidRDefault="002E3232">
      <w:pPr>
        <w:pStyle w:val="TOC2"/>
        <w:rPr>
          <w:rFonts w:asciiTheme="minorHAnsi" w:eastAsiaTheme="minorEastAsia" w:hAnsiTheme="minorHAnsi" w:cstheme="minorBidi"/>
          <w:sz w:val="22"/>
          <w:szCs w:val="22"/>
          <w:lang w:eastAsia="en-NZ"/>
        </w:rPr>
      </w:pPr>
      <w:r>
        <w:t>6.3</w:t>
      </w:r>
      <w:r>
        <w:rPr>
          <w:rFonts w:asciiTheme="minorHAnsi" w:eastAsiaTheme="minorEastAsia" w:hAnsiTheme="minorHAnsi" w:cstheme="minorBidi"/>
          <w:sz w:val="22"/>
          <w:szCs w:val="22"/>
          <w:lang w:eastAsia="en-NZ"/>
        </w:rPr>
        <w:tab/>
      </w:r>
      <w:r>
        <w:t>Option 3</w:t>
      </w:r>
      <w:r>
        <w:tab/>
      </w:r>
      <w:r>
        <w:fldChar w:fldCharType="begin"/>
      </w:r>
      <w:r>
        <w:instrText xml:space="preserve"> PAGEREF _Toc453059214 \h </w:instrText>
      </w:r>
      <w:r>
        <w:fldChar w:fldCharType="separate"/>
      </w:r>
      <w:r>
        <w:t>10</w:t>
      </w:r>
      <w:r>
        <w:fldChar w:fldCharType="end"/>
      </w:r>
    </w:p>
    <w:p w14:paraId="216F6473" w14:textId="77777777" w:rsidR="002E3232" w:rsidRDefault="002E3232">
      <w:pPr>
        <w:pStyle w:val="TOC1"/>
        <w:rPr>
          <w:rFonts w:asciiTheme="minorHAnsi" w:eastAsiaTheme="minorEastAsia" w:hAnsiTheme="minorHAnsi" w:cstheme="minorBidi"/>
          <w:b w:val="0"/>
          <w:sz w:val="22"/>
          <w:szCs w:val="22"/>
          <w:lang w:eastAsia="en-NZ"/>
        </w:rPr>
      </w:pPr>
      <w:r>
        <w:t>7</w:t>
      </w:r>
      <w:r>
        <w:rPr>
          <w:rFonts w:asciiTheme="minorHAnsi" w:eastAsiaTheme="minorEastAsia" w:hAnsiTheme="minorHAnsi" w:cstheme="minorBidi"/>
          <w:b w:val="0"/>
          <w:sz w:val="22"/>
          <w:szCs w:val="22"/>
          <w:lang w:eastAsia="en-NZ"/>
        </w:rPr>
        <w:tab/>
      </w:r>
      <w:r>
        <w:t>Other Matters</w:t>
      </w:r>
      <w:r>
        <w:tab/>
      </w:r>
      <w:r>
        <w:fldChar w:fldCharType="begin"/>
      </w:r>
      <w:r>
        <w:instrText xml:space="preserve"> PAGEREF _Toc453059215 \h </w:instrText>
      </w:r>
      <w:r>
        <w:fldChar w:fldCharType="separate"/>
      </w:r>
      <w:r>
        <w:t>10</w:t>
      </w:r>
      <w:r>
        <w:fldChar w:fldCharType="end"/>
      </w:r>
    </w:p>
    <w:p w14:paraId="496D4DE5" w14:textId="77777777" w:rsidR="002E3232" w:rsidRDefault="002E3232">
      <w:pPr>
        <w:pStyle w:val="TOC2"/>
        <w:rPr>
          <w:rFonts w:asciiTheme="minorHAnsi" w:eastAsiaTheme="minorEastAsia" w:hAnsiTheme="minorHAnsi" w:cstheme="minorBidi"/>
          <w:sz w:val="22"/>
          <w:szCs w:val="22"/>
          <w:lang w:eastAsia="en-NZ"/>
        </w:rPr>
      </w:pPr>
      <w:r>
        <w:t>7.1</w:t>
      </w:r>
      <w:r>
        <w:rPr>
          <w:rFonts w:asciiTheme="minorHAnsi" w:eastAsiaTheme="minorEastAsia" w:hAnsiTheme="minorHAnsi" w:cstheme="minorBidi"/>
          <w:sz w:val="22"/>
          <w:szCs w:val="22"/>
          <w:lang w:eastAsia="en-NZ"/>
        </w:rPr>
        <w:tab/>
      </w:r>
      <w:r>
        <w:t>Deemed value rates</w:t>
      </w:r>
      <w:r>
        <w:tab/>
      </w:r>
      <w:r>
        <w:fldChar w:fldCharType="begin"/>
      </w:r>
      <w:r>
        <w:instrText xml:space="preserve"> PAGEREF _Toc453059216 \h </w:instrText>
      </w:r>
      <w:r>
        <w:fldChar w:fldCharType="separate"/>
      </w:r>
      <w:r>
        <w:t>10</w:t>
      </w:r>
      <w:r>
        <w:fldChar w:fldCharType="end"/>
      </w:r>
    </w:p>
    <w:p w14:paraId="015213ED" w14:textId="77777777" w:rsidR="002E3232" w:rsidRDefault="002E3232">
      <w:pPr>
        <w:pStyle w:val="TOC1"/>
        <w:rPr>
          <w:rFonts w:asciiTheme="minorHAnsi" w:eastAsiaTheme="minorEastAsia" w:hAnsiTheme="minorHAnsi" w:cstheme="minorBidi"/>
          <w:b w:val="0"/>
          <w:sz w:val="22"/>
          <w:szCs w:val="22"/>
          <w:lang w:eastAsia="en-NZ"/>
        </w:rPr>
      </w:pPr>
      <w:r>
        <w:t>8</w:t>
      </w:r>
      <w:r>
        <w:rPr>
          <w:rFonts w:asciiTheme="minorHAnsi" w:eastAsiaTheme="minorEastAsia" w:hAnsiTheme="minorHAnsi" w:cstheme="minorBidi"/>
          <w:b w:val="0"/>
          <w:sz w:val="22"/>
          <w:szCs w:val="22"/>
          <w:lang w:eastAsia="en-NZ"/>
        </w:rPr>
        <w:tab/>
      </w:r>
      <w:r>
        <w:t>Conclusion</w:t>
      </w:r>
      <w:r>
        <w:tab/>
      </w:r>
      <w:r>
        <w:fldChar w:fldCharType="begin"/>
      </w:r>
      <w:r>
        <w:instrText xml:space="preserve"> PAGEREF _Toc453059217 \h </w:instrText>
      </w:r>
      <w:r>
        <w:fldChar w:fldCharType="separate"/>
      </w:r>
      <w:r>
        <w:t>11</w:t>
      </w:r>
      <w:r>
        <w:fldChar w:fldCharType="end"/>
      </w:r>
    </w:p>
    <w:p w14:paraId="75627948" w14:textId="2648CDCF" w:rsidR="00471C3D" w:rsidRPr="00471C3D" w:rsidRDefault="002E3232" w:rsidP="00471C3D">
      <w:pPr>
        <w:pStyle w:val="TOC1"/>
        <w:rPr>
          <w:color w:val="0070C0"/>
        </w:rPr>
      </w:pPr>
      <w:r>
        <w:fldChar w:fldCharType="end"/>
      </w:r>
    </w:p>
    <w:p w14:paraId="5DD3ACC6" w14:textId="77777777" w:rsidR="00786686" w:rsidRDefault="00786686">
      <w:pPr>
        <w:pStyle w:val="TOC1"/>
        <w:sectPr w:rsidR="00786686">
          <w:headerReference w:type="default" r:id="rId19"/>
          <w:footerReference w:type="even" r:id="rId20"/>
          <w:footerReference w:type="default" r:id="rId21"/>
          <w:footerReference w:type="first" r:id="rId22"/>
          <w:type w:val="oddPage"/>
          <w:pgSz w:w="11907" w:h="16840" w:code="9"/>
          <w:pgMar w:top="1134" w:right="1418" w:bottom="1134" w:left="1418" w:header="720" w:footer="720" w:gutter="0"/>
          <w:pgNumType w:fmt="lowerRoman" w:start="1"/>
          <w:cols w:space="720" w:equalWidth="0">
            <w:col w:w="9049"/>
          </w:cols>
        </w:sectPr>
      </w:pPr>
      <w:r>
        <w:t xml:space="preserve"> </w:t>
      </w:r>
      <w:r>
        <w:fldChar w:fldCharType="begin"/>
      </w:r>
      <w:r>
        <w:instrText xml:space="preserve">  </w:instrText>
      </w:r>
      <w:r>
        <w:fldChar w:fldCharType="end"/>
      </w:r>
    </w:p>
    <w:p w14:paraId="1C981E3E" w14:textId="77777777" w:rsidR="00015376" w:rsidRDefault="00015376" w:rsidP="00015376">
      <w:pPr>
        <w:pStyle w:val="Heading1"/>
        <w:numPr>
          <w:ilvl w:val="0"/>
          <w:numId w:val="38"/>
        </w:numPr>
      </w:pPr>
      <w:bookmarkStart w:id="1" w:name="_Toc453059194"/>
      <w:bookmarkStart w:id="2" w:name="_Toc399138960"/>
      <w:r>
        <w:lastRenderedPageBreak/>
        <w:t>Submission Information</w:t>
      </w:r>
      <w:bookmarkEnd w:id="1"/>
    </w:p>
    <w:p w14:paraId="12CD0319" w14:textId="7685DD41" w:rsidR="009303F7" w:rsidRDefault="00015376" w:rsidP="00015376">
      <w:r>
        <w:t xml:space="preserve">MPI welcomes written </w:t>
      </w:r>
      <w:r w:rsidR="0050492A">
        <w:t>submissions on the</w:t>
      </w:r>
      <w:r w:rsidR="009303F7">
        <w:t xml:space="preserve"> proposals contained in the Consultation Document. All written submissions must be receiv</w:t>
      </w:r>
      <w:r w:rsidR="00C020F3">
        <w:t xml:space="preserve">ed by MPI no later than 5pm on </w:t>
      </w:r>
      <w:r w:rsidR="002E3232">
        <w:t>Monday 11 July</w:t>
      </w:r>
      <w:r w:rsidR="00C020F3">
        <w:t xml:space="preserve"> 2016</w:t>
      </w:r>
      <w:r w:rsidR="009303F7">
        <w:t>.</w:t>
      </w:r>
    </w:p>
    <w:p w14:paraId="5DFC9000" w14:textId="77777777" w:rsidR="009303F7" w:rsidRDefault="009303F7" w:rsidP="00015376"/>
    <w:p w14:paraId="3D2D3980" w14:textId="77777777" w:rsidR="009303F7" w:rsidRDefault="009303F7" w:rsidP="00015376">
      <w:r>
        <w:t>Written submissions should be sent directly to:</w:t>
      </w:r>
    </w:p>
    <w:p w14:paraId="0B03B3C0" w14:textId="77777777" w:rsidR="009303F7" w:rsidRDefault="009303F7" w:rsidP="009303F7">
      <w:pPr>
        <w:ind w:firstLine="720"/>
      </w:pPr>
      <w:r>
        <w:t>Deepwater Fisheries Management</w:t>
      </w:r>
    </w:p>
    <w:p w14:paraId="281394D5" w14:textId="77777777" w:rsidR="009303F7" w:rsidRDefault="009303F7" w:rsidP="009303F7">
      <w:pPr>
        <w:ind w:firstLine="720"/>
      </w:pPr>
      <w:r>
        <w:t>Ministry for Primary Industries</w:t>
      </w:r>
    </w:p>
    <w:p w14:paraId="12417F2E" w14:textId="77777777" w:rsidR="009303F7" w:rsidRDefault="009303F7" w:rsidP="009303F7">
      <w:pPr>
        <w:ind w:firstLine="720"/>
      </w:pPr>
      <w:r>
        <w:t>P O Box 2526</w:t>
      </w:r>
    </w:p>
    <w:p w14:paraId="75B8CC58" w14:textId="77777777" w:rsidR="009303F7" w:rsidRDefault="009303F7" w:rsidP="009303F7">
      <w:pPr>
        <w:ind w:firstLine="720"/>
      </w:pPr>
      <w:r>
        <w:t>Wellington 6011</w:t>
      </w:r>
    </w:p>
    <w:p w14:paraId="4D84347E" w14:textId="77777777" w:rsidR="009303F7" w:rsidRDefault="009303F7" w:rsidP="009303F7"/>
    <w:p w14:paraId="63DEAE99" w14:textId="77777777" w:rsidR="009303F7" w:rsidRDefault="009303F7" w:rsidP="009303F7">
      <w:r>
        <w:t xml:space="preserve">or emailed to </w:t>
      </w:r>
      <w:hyperlink r:id="rId23" w:history="1">
        <w:r w:rsidRPr="00EF3BB0">
          <w:rPr>
            <w:rStyle w:val="Hyperlink"/>
          </w:rPr>
          <w:t>FMsubmissions@mpi.govt.nz</w:t>
        </w:r>
      </w:hyperlink>
    </w:p>
    <w:p w14:paraId="70DD01D7" w14:textId="77777777" w:rsidR="009303F7" w:rsidRDefault="009303F7" w:rsidP="009303F7"/>
    <w:p w14:paraId="699C8246" w14:textId="77777777" w:rsidR="009303F7" w:rsidRDefault="009303F7" w:rsidP="009303F7">
      <w:pPr>
        <w:pStyle w:val="Heading2"/>
      </w:pPr>
      <w:bookmarkStart w:id="3" w:name="_Toc453059195"/>
      <w:r>
        <w:t>O</w:t>
      </w:r>
      <w:r w:rsidR="000308AC">
        <w:t>fficial</w:t>
      </w:r>
      <w:r>
        <w:t xml:space="preserve"> I</w:t>
      </w:r>
      <w:r w:rsidR="000308AC">
        <w:t>nformation</w:t>
      </w:r>
      <w:r>
        <w:t xml:space="preserve"> A</w:t>
      </w:r>
      <w:r w:rsidR="000308AC">
        <w:t>ct</w:t>
      </w:r>
      <w:r>
        <w:t xml:space="preserve"> 1982</w:t>
      </w:r>
      <w:bookmarkEnd w:id="3"/>
    </w:p>
    <w:p w14:paraId="343EAA4C" w14:textId="77777777" w:rsidR="009303F7" w:rsidRDefault="009303F7" w:rsidP="009303F7">
      <w:pPr>
        <w:rPr>
          <w:szCs w:val="24"/>
        </w:rPr>
      </w:pPr>
      <w:r>
        <w:t xml:space="preserve">All submissions are subject to the Official Information Act and can be released (along with </w:t>
      </w:r>
      <w:r>
        <w:rPr>
          <w:szCs w:val="24"/>
        </w:rPr>
        <w:t>personal details</w:t>
      </w:r>
      <w:r w:rsidRPr="00A061F7">
        <w:rPr>
          <w:szCs w:val="24"/>
        </w:rPr>
        <w:t xml:space="preserve"> of the submitter) under the Act. If you have specific reasons for wanting to have your submission or </w:t>
      </w:r>
      <w:r>
        <w:rPr>
          <w:szCs w:val="24"/>
        </w:rPr>
        <w:t>personal details</w:t>
      </w:r>
      <w:r w:rsidRPr="00A061F7">
        <w:rPr>
          <w:szCs w:val="24"/>
        </w:rPr>
        <w:t xml:space="preserve"> withheld, please set out your reasons in the submission. MPI will consider those reasons when making any assessment for the release of submissions if requested under the Official Information Act. </w:t>
      </w:r>
    </w:p>
    <w:p w14:paraId="6317EA8B" w14:textId="77777777" w:rsidR="005D6337" w:rsidRDefault="005D6337">
      <w:pPr>
        <w:rPr>
          <w:szCs w:val="24"/>
        </w:rPr>
      </w:pPr>
      <w:r>
        <w:rPr>
          <w:szCs w:val="24"/>
        </w:rPr>
        <w:br w:type="page"/>
      </w:r>
    </w:p>
    <w:p w14:paraId="278DB488" w14:textId="77777777" w:rsidR="005D6337" w:rsidRDefault="002C42CA" w:rsidP="005D6337">
      <w:pPr>
        <w:jc w:val="center"/>
        <w:rPr>
          <w:szCs w:val="24"/>
        </w:rPr>
      </w:pPr>
      <w:r w:rsidRPr="002C42CA">
        <w:rPr>
          <w:noProof/>
          <w:szCs w:val="24"/>
          <w:lang w:eastAsia="en-NZ"/>
        </w:rPr>
        <w:lastRenderedPageBreak/>
        <w:drawing>
          <wp:inline distT="0" distB="0" distL="0" distR="0" wp14:anchorId="0ED124BE" wp14:editId="28CAADB3">
            <wp:extent cx="3925019" cy="3387725"/>
            <wp:effectExtent l="19050" t="19050" r="18415" b="22225"/>
            <wp:docPr id="4" name="Picture 4" descr="M:\DeepWater\01 Fish Stock Management\Holding Folder 1 Oct Sustainability 2016\QMA maps\S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epWater\01 Fish Stock Management\Holding Folder 1 Oct Sustainability 2016\QMA maps\SCI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6" r="28547"/>
                    <a:stretch/>
                  </pic:blipFill>
                  <pic:spPr bwMode="auto">
                    <a:xfrm>
                      <a:off x="0" y="0"/>
                      <a:ext cx="3925509" cy="33881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539DAD" w14:textId="77777777" w:rsidR="005D6337" w:rsidRPr="005D6337" w:rsidRDefault="002C42CA" w:rsidP="005D6337">
      <w:pPr>
        <w:rPr>
          <w:rFonts w:ascii="Arial Narrow" w:hAnsi="Arial Narrow"/>
          <w:b/>
          <w:szCs w:val="24"/>
        </w:rPr>
      </w:pPr>
      <w:r>
        <w:rPr>
          <w:rFonts w:ascii="Arial Narrow" w:hAnsi="Arial Narrow"/>
          <w:b/>
          <w:szCs w:val="24"/>
        </w:rPr>
        <w:t>Figure 1. Quota management a</w:t>
      </w:r>
      <w:r w:rsidR="005D6337" w:rsidRPr="005D6337">
        <w:rPr>
          <w:rFonts w:ascii="Arial Narrow" w:hAnsi="Arial Narrow"/>
          <w:b/>
          <w:szCs w:val="24"/>
        </w:rPr>
        <w:t xml:space="preserve">rea (QMA) for the </w:t>
      </w:r>
      <w:r>
        <w:rPr>
          <w:rFonts w:ascii="Arial Narrow" w:hAnsi="Arial Narrow"/>
          <w:b/>
          <w:szCs w:val="24"/>
        </w:rPr>
        <w:t>SCI 2</w:t>
      </w:r>
      <w:r w:rsidR="005D6337" w:rsidRPr="005D6337">
        <w:rPr>
          <w:rFonts w:ascii="Arial Narrow" w:hAnsi="Arial Narrow"/>
          <w:b/>
          <w:szCs w:val="24"/>
        </w:rPr>
        <w:t xml:space="preserve"> fishery</w:t>
      </w:r>
    </w:p>
    <w:p w14:paraId="5CD4A846" w14:textId="77777777" w:rsidR="005D6337" w:rsidRDefault="005D6337" w:rsidP="005D6337">
      <w:pPr>
        <w:jc w:val="center"/>
        <w:rPr>
          <w:szCs w:val="24"/>
        </w:rPr>
      </w:pPr>
    </w:p>
    <w:p w14:paraId="654868A3" w14:textId="77777777" w:rsidR="00471C3D" w:rsidRDefault="00471C3D" w:rsidP="009303F7">
      <w:pPr>
        <w:pStyle w:val="Heading1"/>
      </w:pPr>
      <w:bookmarkStart w:id="4" w:name="_Toc453059196"/>
      <w:r>
        <w:t>Executive Summary</w:t>
      </w:r>
      <w:bookmarkEnd w:id="2"/>
      <w:bookmarkEnd w:id="4"/>
    </w:p>
    <w:p w14:paraId="25E31294" w14:textId="0AA00C81" w:rsidR="002C42CA" w:rsidRPr="00E16A9C" w:rsidRDefault="002C42CA" w:rsidP="002C42CA">
      <w:pPr>
        <w:pStyle w:val="ListParagraph"/>
        <w:ind w:left="0"/>
        <w:rPr>
          <w:szCs w:val="24"/>
        </w:rPr>
      </w:pPr>
      <w:bookmarkStart w:id="5" w:name="_Toc398800934"/>
      <w:bookmarkStart w:id="6" w:name="_Toc398801105"/>
      <w:bookmarkStart w:id="7" w:name="_Toc399138963"/>
      <w:bookmarkStart w:id="8" w:name="_Toc399398664"/>
      <w:bookmarkStart w:id="9" w:name="_Toc398800943"/>
      <w:bookmarkStart w:id="10" w:name="_Toc398801114"/>
      <w:bookmarkStart w:id="11" w:name="_Toc399138972"/>
      <w:bookmarkStart w:id="12" w:name="_Toc399398673"/>
      <w:bookmarkStart w:id="13" w:name="_Toc399138981"/>
      <w:bookmarkEnd w:id="5"/>
      <w:bookmarkEnd w:id="6"/>
      <w:bookmarkEnd w:id="7"/>
      <w:bookmarkEnd w:id="8"/>
      <w:bookmarkEnd w:id="9"/>
      <w:bookmarkEnd w:id="10"/>
      <w:bookmarkEnd w:id="11"/>
      <w:bookmarkEnd w:id="12"/>
      <w:r w:rsidRPr="00E16A9C">
        <w:t xml:space="preserve">The Ministry for Primary Industries (MPI) is seeking tangata whenua and stakeholder </w:t>
      </w:r>
      <w:r>
        <w:t>input</w:t>
      </w:r>
      <w:r w:rsidRPr="00E16A9C">
        <w:t xml:space="preserve"> to inform a review of </w:t>
      </w:r>
      <w:r>
        <w:t xml:space="preserve">catch limits and allowances </w:t>
      </w:r>
      <w:r w:rsidRPr="00E16A9C">
        <w:t>for scampi</w:t>
      </w:r>
      <w:r>
        <w:t xml:space="preserve"> (</w:t>
      </w:r>
      <w:r>
        <w:rPr>
          <w:i/>
        </w:rPr>
        <w:t>Metanephrops challenger)</w:t>
      </w:r>
      <w:r w:rsidR="00901FF8">
        <w:t xml:space="preserve"> in q</w:t>
      </w:r>
      <w:r w:rsidRPr="00E16A9C">
        <w:t xml:space="preserve">uota </w:t>
      </w:r>
      <w:r w:rsidR="00901FF8">
        <w:rPr>
          <w:szCs w:val="24"/>
        </w:rPr>
        <w:t>management a</w:t>
      </w:r>
      <w:r w:rsidRPr="00E16A9C">
        <w:rPr>
          <w:szCs w:val="24"/>
        </w:rPr>
        <w:t>rea</w:t>
      </w:r>
      <w:r w:rsidR="00901FF8">
        <w:rPr>
          <w:szCs w:val="24"/>
        </w:rPr>
        <w:t xml:space="preserve"> (QMA) 2</w:t>
      </w:r>
      <w:r w:rsidRPr="00E16A9C">
        <w:rPr>
          <w:szCs w:val="24"/>
        </w:rPr>
        <w:t xml:space="preserve"> </w:t>
      </w:r>
      <w:r w:rsidR="00901FF8">
        <w:rPr>
          <w:szCs w:val="24"/>
        </w:rPr>
        <w:t>(</w:t>
      </w:r>
      <w:r w:rsidRPr="00E16A9C">
        <w:rPr>
          <w:szCs w:val="24"/>
        </w:rPr>
        <w:t>SCI</w:t>
      </w:r>
      <w:r>
        <w:rPr>
          <w:szCs w:val="24"/>
        </w:rPr>
        <w:t xml:space="preserve"> </w:t>
      </w:r>
      <w:r w:rsidR="00901FF8">
        <w:rPr>
          <w:szCs w:val="24"/>
        </w:rPr>
        <w:t xml:space="preserve">2; </w:t>
      </w:r>
      <w:r w:rsidRPr="00E16A9C">
        <w:rPr>
          <w:szCs w:val="24"/>
        </w:rPr>
        <w:t>Figure 1).</w:t>
      </w:r>
    </w:p>
    <w:p w14:paraId="134C77AF" w14:textId="77777777" w:rsidR="002C42CA" w:rsidRPr="00E16A9C" w:rsidRDefault="002C42CA" w:rsidP="002C42CA">
      <w:pPr>
        <w:pStyle w:val="ListParagraph"/>
        <w:ind w:left="0"/>
        <w:rPr>
          <w:szCs w:val="24"/>
        </w:rPr>
      </w:pPr>
    </w:p>
    <w:p w14:paraId="779825B9" w14:textId="77777777" w:rsidR="002C42CA" w:rsidRPr="00E16A9C" w:rsidRDefault="002C42CA" w:rsidP="002C42CA">
      <w:pPr>
        <w:pStyle w:val="ListParagraph"/>
        <w:spacing w:after="240"/>
        <w:ind w:left="0"/>
      </w:pPr>
      <w:r>
        <w:rPr>
          <w:szCs w:val="24"/>
        </w:rPr>
        <w:t>Results from the 2016</w:t>
      </w:r>
      <w:r w:rsidRPr="00E16A9C">
        <w:rPr>
          <w:szCs w:val="24"/>
        </w:rPr>
        <w:t xml:space="preserve"> stock assessment indicate S</w:t>
      </w:r>
      <w:r>
        <w:rPr>
          <w:szCs w:val="24"/>
        </w:rPr>
        <w:t>CI 2 biomass is approximately 101%</w:t>
      </w:r>
      <w:r w:rsidRPr="00E16A9C">
        <w:rPr>
          <w:szCs w:val="24"/>
        </w:rPr>
        <w:t xml:space="preserve"> </w:t>
      </w:r>
      <w:r>
        <w:rPr>
          <w:szCs w:val="24"/>
        </w:rPr>
        <w:t>of un-fished biomass (</w:t>
      </w:r>
      <w:r w:rsidRPr="00E16A9C">
        <w:rPr>
          <w:szCs w:val="24"/>
        </w:rPr>
        <w:t>B</w:t>
      </w:r>
      <w:r w:rsidRPr="00E16A9C">
        <w:rPr>
          <w:szCs w:val="24"/>
          <w:vertAlign w:val="subscript"/>
        </w:rPr>
        <w:t>0</w:t>
      </w:r>
      <w:r>
        <w:rPr>
          <w:szCs w:val="24"/>
        </w:rPr>
        <w:t xml:space="preserve">), </w:t>
      </w:r>
      <w:r w:rsidRPr="00E16A9C">
        <w:rPr>
          <w:szCs w:val="24"/>
        </w:rPr>
        <w:t xml:space="preserve">which is </w:t>
      </w:r>
      <w:r w:rsidR="00CD3E80">
        <w:rPr>
          <w:szCs w:val="24"/>
        </w:rPr>
        <w:t xml:space="preserve">well </w:t>
      </w:r>
      <w:r w:rsidRPr="00E16A9C">
        <w:rPr>
          <w:szCs w:val="24"/>
        </w:rPr>
        <w:t>above the default management target of 40% B</w:t>
      </w:r>
      <w:r w:rsidRPr="00E16A9C">
        <w:rPr>
          <w:szCs w:val="24"/>
          <w:vertAlign w:val="subscript"/>
        </w:rPr>
        <w:t>0</w:t>
      </w:r>
      <w:r w:rsidRPr="00E16A9C">
        <w:rPr>
          <w:szCs w:val="24"/>
        </w:rPr>
        <w:t xml:space="preserve">. </w:t>
      </w:r>
      <w:r>
        <w:rPr>
          <w:szCs w:val="24"/>
        </w:rPr>
        <w:t xml:space="preserve">Consequently, </w:t>
      </w:r>
      <w:r w:rsidRPr="00E16A9C">
        <w:rPr>
          <w:szCs w:val="24"/>
        </w:rPr>
        <w:t xml:space="preserve">MPI proposes an increase </w:t>
      </w:r>
      <w:r>
        <w:rPr>
          <w:szCs w:val="24"/>
        </w:rPr>
        <w:t>of</w:t>
      </w:r>
      <w:r w:rsidRPr="00E16A9C">
        <w:rPr>
          <w:szCs w:val="24"/>
        </w:rPr>
        <w:t xml:space="preserve"> the total allowable catch </w:t>
      </w:r>
      <w:r>
        <w:rPr>
          <w:szCs w:val="24"/>
        </w:rPr>
        <w:t>(</w:t>
      </w:r>
      <w:r w:rsidRPr="00E16A9C">
        <w:rPr>
          <w:szCs w:val="24"/>
        </w:rPr>
        <w:t>TAC</w:t>
      </w:r>
      <w:r>
        <w:rPr>
          <w:szCs w:val="24"/>
        </w:rPr>
        <w:t>) and total allowable commercial catch (TACC)</w:t>
      </w:r>
      <w:r w:rsidRPr="00E16A9C">
        <w:rPr>
          <w:szCs w:val="24"/>
        </w:rPr>
        <w:t xml:space="preserve"> in SCI 2 to utilise the increase in scampi abundance. </w:t>
      </w:r>
      <w:r>
        <w:rPr>
          <w:szCs w:val="24"/>
        </w:rPr>
        <w:t xml:space="preserve">The specific options proposed for the </w:t>
      </w:r>
      <w:r w:rsidRPr="00E16A9C">
        <w:rPr>
          <w:szCs w:val="24"/>
        </w:rPr>
        <w:t xml:space="preserve">TAC, </w:t>
      </w:r>
      <w:r w:rsidRPr="00E16A9C">
        <w:t xml:space="preserve">TACC and associated allowances </w:t>
      </w:r>
      <w:r>
        <w:t xml:space="preserve">are provided in </w:t>
      </w:r>
      <w:r w:rsidRPr="00E16A9C">
        <w:t>Table 1</w:t>
      </w:r>
      <w:r>
        <w:t>.</w:t>
      </w:r>
      <w:r w:rsidRPr="00E16A9C">
        <w:rPr>
          <w:b/>
          <w:caps/>
        </w:rPr>
        <w:t xml:space="preserve"> </w:t>
      </w:r>
    </w:p>
    <w:p w14:paraId="22EC3068" w14:textId="68F22928" w:rsidR="002C42CA" w:rsidRPr="00E16A9C" w:rsidRDefault="002C42CA" w:rsidP="002C42CA">
      <w:pPr>
        <w:pStyle w:val="TableMainTitle"/>
        <w:rPr>
          <w:rFonts w:ascii="Arial" w:hAnsi="Arial" w:cs="Arial"/>
          <w:sz w:val="16"/>
        </w:rPr>
      </w:pPr>
      <w:r w:rsidRPr="00FB7012">
        <w:t>Table</w:t>
      </w:r>
      <w:r w:rsidRPr="009F5B63">
        <w:t xml:space="preserve"> 1: Proposed TACs, TACCs and allowances for SCI</w:t>
      </w:r>
      <w:r>
        <w:t xml:space="preserve"> </w:t>
      </w:r>
      <w:r w:rsidRPr="009F5B63">
        <w:t>2</w:t>
      </w:r>
      <w:r w:rsidR="00EB26EA">
        <w:t xml:space="preserve"> (all </w:t>
      </w:r>
      <w:r w:rsidR="008C02D2">
        <w:t>values</w:t>
      </w:r>
      <w:r w:rsidR="00EB26EA">
        <w:t xml:space="preserve"> in tonnes)</w:t>
      </w:r>
    </w:p>
    <w:tbl>
      <w:tblPr>
        <w:tblpPr w:leftFromText="180" w:rightFromText="180" w:vertAnchor="text" w:horzAnchor="margin" w:tblpY="96"/>
        <w:tblW w:w="5000" w:type="pct"/>
        <w:tblLook w:val="00A0" w:firstRow="1" w:lastRow="0" w:firstColumn="1" w:lastColumn="0" w:noHBand="0" w:noVBand="0"/>
      </w:tblPr>
      <w:tblGrid>
        <w:gridCol w:w="1976"/>
        <w:gridCol w:w="553"/>
        <w:gridCol w:w="793"/>
        <w:gridCol w:w="1489"/>
        <w:gridCol w:w="1489"/>
        <w:gridCol w:w="1201"/>
        <w:gridCol w:w="1569"/>
      </w:tblGrid>
      <w:tr w:rsidR="00901FF8" w:rsidRPr="002206CB" w14:paraId="1762CB25" w14:textId="77777777" w:rsidTr="00901FF8">
        <w:trPr>
          <w:trHeight w:val="20"/>
        </w:trPr>
        <w:tc>
          <w:tcPr>
            <w:tcW w:w="1089" w:type="pct"/>
            <w:vMerge w:val="restart"/>
            <w:tcBorders>
              <w:top w:val="single" w:sz="4" w:space="0" w:color="auto"/>
            </w:tcBorders>
            <w:vAlign w:val="center"/>
          </w:tcPr>
          <w:p w14:paraId="5A09C58B" w14:textId="77777777" w:rsidR="00901FF8" w:rsidRPr="0029325B" w:rsidRDefault="00901FF8" w:rsidP="00FE3177">
            <w:pPr>
              <w:pStyle w:val="FAPHeadingThree"/>
              <w:jc w:val="left"/>
              <w:rPr>
                <w:rFonts w:ascii="Arial Narrow" w:hAnsi="Arial Narrow" w:cs="Times New Roman"/>
                <w:b/>
                <w:i w:val="0"/>
                <w:sz w:val="20"/>
                <w:szCs w:val="20"/>
                <w:u w:val="none"/>
              </w:rPr>
            </w:pPr>
            <w:r>
              <w:rPr>
                <w:rFonts w:ascii="Arial Narrow" w:hAnsi="Arial Narrow" w:cs="Times New Roman"/>
                <w:b/>
                <w:i w:val="0"/>
                <w:sz w:val="20"/>
                <w:szCs w:val="20"/>
                <w:u w:val="none"/>
              </w:rPr>
              <w:t>Option</w:t>
            </w:r>
          </w:p>
        </w:tc>
        <w:tc>
          <w:tcPr>
            <w:tcW w:w="742" w:type="pct"/>
            <w:gridSpan w:val="2"/>
            <w:tcBorders>
              <w:top w:val="single" w:sz="4" w:space="0" w:color="auto"/>
            </w:tcBorders>
          </w:tcPr>
          <w:p w14:paraId="43EC5570" w14:textId="77777777" w:rsidR="00901FF8" w:rsidRDefault="00901FF8" w:rsidP="00FE3177">
            <w:pPr>
              <w:pStyle w:val="FAPHeadingThree"/>
              <w:jc w:val="center"/>
              <w:rPr>
                <w:rFonts w:ascii="Arial Narrow" w:hAnsi="Arial Narrow" w:cs="Times New Roman"/>
                <w:b/>
                <w:i w:val="0"/>
                <w:sz w:val="20"/>
                <w:szCs w:val="20"/>
                <w:u w:val="none"/>
              </w:rPr>
            </w:pPr>
          </w:p>
        </w:tc>
        <w:tc>
          <w:tcPr>
            <w:tcW w:w="821" w:type="pct"/>
            <w:tcBorders>
              <w:top w:val="single" w:sz="4" w:space="0" w:color="auto"/>
              <w:right w:val="single" w:sz="4" w:space="0" w:color="auto"/>
            </w:tcBorders>
            <w:vAlign w:val="center"/>
          </w:tcPr>
          <w:p w14:paraId="3A56EB36" w14:textId="3D82723B" w:rsidR="00901FF8" w:rsidRPr="0029325B" w:rsidRDefault="00901FF8" w:rsidP="00FE3177">
            <w:pPr>
              <w:pStyle w:val="FAPHeadingThree"/>
              <w:jc w:val="center"/>
              <w:rPr>
                <w:rFonts w:ascii="Arial Narrow" w:hAnsi="Arial Narrow" w:cs="Times New Roman"/>
                <w:b/>
                <w:i w:val="0"/>
                <w:sz w:val="20"/>
                <w:szCs w:val="20"/>
                <w:u w:val="none"/>
              </w:rPr>
            </w:pPr>
          </w:p>
        </w:tc>
        <w:tc>
          <w:tcPr>
            <w:tcW w:w="2348" w:type="pct"/>
            <w:gridSpan w:val="3"/>
            <w:tcBorders>
              <w:top w:val="single" w:sz="4" w:space="0" w:color="auto"/>
              <w:left w:val="single" w:sz="4" w:space="0" w:color="auto"/>
            </w:tcBorders>
            <w:vAlign w:val="center"/>
          </w:tcPr>
          <w:p w14:paraId="5C9691C3" w14:textId="50650877" w:rsidR="00901FF8" w:rsidRPr="0029325B" w:rsidRDefault="00901FF8" w:rsidP="00FE3177">
            <w:pPr>
              <w:pStyle w:val="FAPHeadingThree"/>
              <w:jc w:val="center"/>
              <w:rPr>
                <w:rFonts w:ascii="Arial Narrow" w:hAnsi="Arial Narrow" w:cs="Times New Roman"/>
                <w:b/>
                <w:i w:val="0"/>
                <w:sz w:val="20"/>
                <w:szCs w:val="20"/>
                <w:u w:val="none"/>
              </w:rPr>
            </w:pPr>
            <w:r>
              <w:rPr>
                <w:rFonts w:ascii="Arial Narrow" w:hAnsi="Arial Narrow" w:cs="Times New Roman"/>
                <w:b/>
                <w:i w:val="0"/>
                <w:sz w:val="20"/>
                <w:szCs w:val="20"/>
                <w:u w:val="none"/>
              </w:rPr>
              <w:t>Allowances</w:t>
            </w:r>
          </w:p>
        </w:tc>
      </w:tr>
      <w:tr w:rsidR="002C42CA" w:rsidRPr="002206CB" w14:paraId="40844F71" w14:textId="77777777" w:rsidTr="00901FF8">
        <w:trPr>
          <w:trHeight w:val="20"/>
        </w:trPr>
        <w:tc>
          <w:tcPr>
            <w:tcW w:w="1089" w:type="pct"/>
            <w:vMerge/>
            <w:tcBorders>
              <w:bottom w:val="single" w:sz="4" w:space="0" w:color="auto"/>
            </w:tcBorders>
            <w:vAlign w:val="center"/>
          </w:tcPr>
          <w:p w14:paraId="44181419" w14:textId="77777777" w:rsidR="002C42CA" w:rsidRPr="0029325B" w:rsidRDefault="002C42CA" w:rsidP="00FE3177">
            <w:pPr>
              <w:pStyle w:val="FAPHeadingThree"/>
              <w:jc w:val="left"/>
              <w:rPr>
                <w:rFonts w:ascii="Arial Narrow" w:hAnsi="Arial Narrow" w:cs="Times New Roman"/>
                <w:b/>
                <w:i w:val="0"/>
                <w:sz w:val="20"/>
                <w:szCs w:val="20"/>
                <w:u w:val="none"/>
              </w:rPr>
            </w:pPr>
          </w:p>
        </w:tc>
        <w:tc>
          <w:tcPr>
            <w:tcW w:w="305" w:type="pct"/>
            <w:tcBorders>
              <w:bottom w:val="single" w:sz="4" w:space="0" w:color="auto"/>
            </w:tcBorders>
            <w:vAlign w:val="center"/>
          </w:tcPr>
          <w:p w14:paraId="6AC7CBC3" w14:textId="77777777" w:rsidR="002C42CA" w:rsidRPr="0029325B" w:rsidRDefault="00EB26E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TAC</w:t>
            </w:r>
          </w:p>
        </w:tc>
        <w:tc>
          <w:tcPr>
            <w:tcW w:w="437" w:type="pct"/>
            <w:tcBorders>
              <w:bottom w:val="single" w:sz="4" w:space="0" w:color="auto"/>
            </w:tcBorders>
            <w:vAlign w:val="center"/>
          </w:tcPr>
          <w:p w14:paraId="0DE0D906" w14:textId="77777777" w:rsidR="002C42CA" w:rsidRPr="0029325B" w:rsidRDefault="00EB26E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TACC</w:t>
            </w:r>
          </w:p>
        </w:tc>
        <w:tc>
          <w:tcPr>
            <w:tcW w:w="821" w:type="pct"/>
            <w:tcBorders>
              <w:bottom w:val="single" w:sz="4" w:space="0" w:color="auto"/>
            </w:tcBorders>
          </w:tcPr>
          <w:p w14:paraId="05F2854A" w14:textId="77777777" w:rsidR="002C42CA" w:rsidRDefault="002C42C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 xml:space="preserve">Increase on current TACC </w:t>
            </w:r>
          </w:p>
        </w:tc>
        <w:tc>
          <w:tcPr>
            <w:tcW w:w="821" w:type="pct"/>
            <w:tcBorders>
              <w:top w:val="single" w:sz="4" w:space="0" w:color="auto"/>
              <w:bottom w:val="single" w:sz="4" w:space="0" w:color="auto"/>
            </w:tcBorders>
            <w:vAlign w:val="center"/>
          </w:tcPr>
          <w:p w14:paraId="43F00DA6" w14:textId="77777777" w:rsidR="002C42CA" w:rsidRPr="0029325B" w:rsidRDefault="00EB26E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Customary Māori</w:t>
            </w:r>
          </w:p>
        </w:tc>
        <w:tc>
          <w:tcPr>
            <w:tcW w:w="662" w:type="pct"/>
            <w:tcBorders>
              <w:top w:val="single" w:sz="4" w:space="0" w:color="auto"/>
              <w:bottom w:val="single" w:sz="4" w:space="0" w:color="auto"/>
            </w:tcBorders>
            <w:vAlign w:val="center"/>
          </w:tcPr>
          <w:p w14:paraId="6B4861C2" w14:textId="77777777" w:rsidR="002C42CA" w:rsidRPr="0029325B" w:rsidRDefault="00EB26E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Recreational</w:t>
            </w:r>
          </w:p>
        </w:tc>
        <w:tc>
          <w:tcPr>
            <w:tcW w:w="865" w:type="pct"/>
            <w:tcBorders>
              <w:top w:val="single" w:sz="4" w:space="0" w:color="auto"/>
              <w:bottom w:val="single" w:sz="4" w:space="0" w:color="auto"/>
            </w:tcBorders>
            <w:vAlign w:val="center"/>
          </w:tcPr>
          <w:p w14:paraId="52DB421E" w14:textId="77777777" w:rsidR="002C42CA" w:rsidRPr="0029325B" w:rsidRDefault="002C42CA" w:rsidP="00FE3177">
            <w:pPr>
              <w:pStyle w:val="FAPHeadingThree"/>
              <w:jc w:val="right"/>
              <w:rPr>
                <w:rFonts w:ascii="Arial Narrow" w:hAnsi="Arial Narrow" w:cs="Times New Roman"/>
                <w:b/>
                <w:i w:val="0"/>
                <w:sz w:val="20"/>
                <w:szCs w:val="20"/>
                <w:u w:val="none"/>
              </w:rPr>
            </w:pPr>
            <w:r>
              <w:rPr>
                <w:rFonts w:ascii="Arial Narrow" w:hAnsi="Arial Narrow" w:cs="Times New Roman"/>
                <w:b/>
                <w:i w:val="0"/>
                <w:sz w:val="20"/>
                <w:szCs w:val="20"/>
                <w:u w:val="none"/>
              </w:rPr>
              <w:t xml:space="preserve">Other sources </w:t>
            </w:r>
            <w:r w:rsidR="00EB26EA">
              <w:rPr>
                <w:rFonts w:ascii="Arial Narrow" w:hAnsi="Arial Narrow" w:cs="Times New Roman"/>
                <w:b/>
                <w:i w:val="0"/>
                <w:sz w:val="20"/>
                <w:szCs w:val="20"/>
                <w:u w:val="none"/>
              </w:rPr>
              <w:t>of fishing-related mortality</w:t>
            </w:r>
          </w:p>
        </w:tc>
      </w:tr>
      <w:tr w:rsidR="002C42CA" w:rsidRPr="002206CB" w14:paraId="211C1677" w14:textId="77777777" w:rsidTr="00901FF8">
        <w:trPr>
          <w:trHeight w:val="283"/>
        </w:trPr>
        <w:tc>
          <w:tcPr>
            <w:tcW w:w="1089" w:type="pct"/>
            <w:tcBorders>
              <w:top w:val="single" w:sz="4" w:space="0" w:color="auto"/>
            </w:tcBorders>
            <w:vAlign w:val="center"/>
          </w:tcPr>
          <w:p w14:paraId="2EE87406" w14:textId="56E05AA2" w:rsidR="002C42CA" w:rsidRPr="00B26154" w:rsidRDefault="002C42CA" w:rsidP="00FE3177">
            <w:pPr>
              <w:pStyle w:val="FAPHeadingThree"/>
              <w:jc w:val="left"/>
              <w:rPr>
                <w:rFonts w:ascii="Arial Narrow" w:hAnsi="Arial Narrow" w:cs="Times New Roman"/>
                <w:i w:val="0"/>
                <w:sz w:val="20"/>
                <w:szCs w:val="20"/>
                <w:u w:val="none"/>
              </w:rPr>
            </w:pPr>
            <w:r w:rsidRPr="001A1BAC">
              <w:rPr>
                <w:rFonts w:ascii="Arial Narrow" w:hAnsi="Arial Narrow" w:cs="Times New Roman"/>
                <w:b/>
                <w:i w:val="0"/>
                <w:sz w:val="20"/>
                <w:szCs w:val="20"/>
                <w:u w:val="none"/>
              </w:rPr>
              <w:t>Option 1</w:t>
            </w:r>
            <w:r w:rsidR="0052601F">
              <w:rPr>
                <w:rFonts w:ascii="Arial Narrow" w:hAnsi="Arial Narrow" w:cs="Times New Roman"/>
                <w:i w:val="0"/>
                <w:sz w:val="20"/>
                <w:szCs w:val="20"/>
                <w:u w:val="none"/>
              </w:rPr>
              <w:t xml:space="preserve"> (Status q</w:t>
            </w:r>
            <w:r w:rsidRPr="00B26154">
              <w:rPr>
                <w:rFonts w:ascii="Arial Narrow" w:hAnsi="Arial Narrow" w:cs="Times New Roman"/>
                <w:i w:val="0"/>
                <w:sz w:val="20"/>
                <w:szCs w:val="20"/>
                <w:u w:val="none"/>
              </w:rPr>
              <w:t>uo)</w:t>
            </w:r>
          </w:p>
        </w:tc>
        <w:tc>
          <w:tcPr>
            <w:tcW w:w="305" w:type="pct"/>
            <w:tcBorders>
              <w:top w:val="single" w:sz="4" w:space="0" w:color="auto"/>
            </w:tcBorders>
            <w:vAlign w:val="center"/>
          </w:tcPr>
          <w:p w14:paraId="26B7D915"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140</w:t>
            </w:r>
          </w:p>
        </w:tc>
        <w:tc>
          <w:tcPr>
            <w:tcW w:w="437" w:type="pct"/>
            <w:tcBorders>
              <w:top w:val="single" w:sz="4" w:space="0" w:color="auto"/>
            </w:tcBorders>
            <w:vAlign w:val="center"/>
          </w:tcPr>
          <w:p w14:paraId="760FB85E"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133</w:t>
            </w:r>
          </w:p>
        </w:tc>
        <w:tc>
          <w:tcPr>
            <w:tcW w:w="821" w:type="pct"/>
            <w:tcBorders>
              <w:top w:val="single" w:sz="4" w:space="0" w:color="auto"/>
            </w:tcBorders>
          </w:tcPr>
          <w:p w14:paraId="5420E1C3" w14:textId="77777777" w:rsidR="002C42CA"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821" w:type="pct"/>
            <w:tcBorders>
              <w:top w:val="single" w:sz="4" w:space="0" w:color="auto"/>
            </w:tcBorders>
            <w:vAlign w:val="center"/>
          </w:tcPr>
          <w:p w14:paraId="0C81DA2C"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662" w:type="pct"/>
            <w:tcBorders>
              <w:top w:val="single" w:sz="4" w:space="0" w:color="auto"/>
            </w:tcBorders>
            <w:vAlign w:val="center"/>
          </w:tcPr>
          <w:p w14:paraId="6C9B85C6"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865" w:type="pct"/>
            <w:tcBorders>
              <w:top w:val="single" w:sz="4" w:space="0" w:color="auto"/>
            </w:tcBorders>
            <w:vAlign w:val="center"/>
          </w:tcPr>
          <w:p w14:paraId="2567FB30"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7</w:t>
            </w:r>
          </w:p>
        </w:tc>
      </w:tr>
      <w:tr w:rsidR="002C42CA" w:rsidRPr="002206CB" w14:paraId="70313FB6" w14:textId="77777777" w:rsidTr="00901FF8">
        <w:trPr>
          <w:trHeight w:val="283"/>
        </w:trPr>
        <w:tc>
          <w:tcPr>
            <w:tcW w:w="1089" w:type="pct"/>
            <w:vAlign w:val="center"/>
          </w:tcPr>
          <w:p w14:paraId="4D968548" w14:textId="77777777" w:rsidR="002C42CA" w:rsidRPr="001A1BAC" w:rsidRDefault="002C42CA" w:rsidP="00FE3177">
            <w:pPr>
              <w:pStyle w:val="FAPHeadingThree"/>
              <w:jc w:val="left"/>
              <w:rPr>
                <w:rFonts w:ascii="Arial Narrow" w:hAnsi="Arial Narrow" w:cs="Times New Roman"/>
                <w:b/>
                <w:i w:val="0"/>
                <w:sz w:val="20"/>
                <w:szCs w:val="20"/>
                <w:u w:val="none"/>
              </w:rPr>
            </w:pPr>
            <w:r w:rsidRPr="001A1BAC">
              <w:rPr>
                <w:rFonts w:ascii="Arial Narrow" w:hAnsi="Arial Narrow" w:cs="Times New Roman"/>
                <w:b/>
                <w:i w:val="0"/>
                <w:sz w:val="20"/>
                <w:szCs w:val="20"/>
                <w:u w:val="none"/>
              </w:rPr>
              <w:t>Option 2</w:t>
            </w:r>
          </w:p>
        </w:tc>
        <w:tc>
          <w:tcPr>
            <w:tcW w:w="305" w:type="pct"/>
            <w:vAlign w:val="center"/>
          </w:tcPr>
          <w:p w14:paraId="228401E3"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161</w:t>
            </w:r>
          </w:p>
        </w:tc>
        <w:tc>
          <w:tcPr>
            <w:tcW w:w="437" w:type="pct"/>
            <w:vAlign w:val="center"/>
          </w:tcPr>
          <w:p w14:paraId="3D491611"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153</w:t>
            </w:r>
          </w:p>
        </w:tc>
        <w:tc>
          <w:tcPr>
            <w:tcW w:w="821" w:type="pct"/>
          </w:tcPr>
          <w:p w14:paraId="37E05149" w14:textId="77777777" w:rsidR="002C42CA"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15%</w:t>
            </w:r>
          </w:p>
        </w:tc>
        <w:tc>
          <w:tcPr>
            <w:tcW w:w="821" w:type="pct"/>
            <w:vAlign w:val="center"/>
          </w:tcPr>
          <w:p w14:paraId="339B1F75"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662" w:type="pct"/>
            <w:vAlign w:val="center"/>
          </w:tcPr>
          <w:p w14:paraId="61129F59"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865" w:type="pct"/>
            <w:vAlign w:val="center"/>
          </w:tcPr>
          <w:p w14:paraId="2277FCFD"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8</w:t>
            </w:r>
          </w:p>
        </w:tc>
      </w:tr>
      <w:tr w:rsidR="002C42CA" w:rsidRPr="002206CB" w14:paraId="346FD371" w14:textId="77777777" w:rsidTr="00901FF8">
        <w:trPr>
          <w:trHeight w:val="283"/>
        </w:trPr>
        <w:tc>
          <w:tcPr>
            <w:tcW w:w="1089" w:type="pct"/>
            <w:tcBorders>
              <w:bottom w:val="single" w:sz="4" w:space="0" w:color="auto"/>
            </w:tcBorders>
            <w:vAlign w:val="center"/>
          </w:tcPr>
          <w:p w14:paraId="2C662619" w14:textId="77777777" w:rsidR="002C42CA" w:rsidRPr="001A1BAC" w:rsidRDefault="002C42CA" w:rsidP="00FE3177">
            <w:pPr>
              <w:pStyle w:val="FAPHeadingThree"/>
              <w:jc w:val="left"/>
              <w:rPr>
                <w:rFonts w:ascii="Arial Narrow" w:hAnsi="Arial Narrow" w:cs="Times New Roman"/>
                <w:b/>
                <w:i w:val="0"/>
                <w:sz w:val="20"/>
                <w:szCs w:val="20"/>
                <w:u w:val="none"/>
              </w:rPr>
            </w:pPr>
            <w:r w:rsidRPr="001A1BAC">
              <w:rPr>
                <w:rFonts w:ascii="Arial Narrow" w:hAnsi="Arial Narrow" w:cs="Times New Roman"/>
                <w:b/>
                <w:i w:val="0"/>
                <w:sz w:val="20"/>
                <w:szCs w:val="20"/>
                <w:u w:val="none"/>
              </w:rPr>
              <w:t>Option 3</w:t>
            </w:r>
          </w:p>
        </w:tc>
        <w:tc>
          <w:tcPr>
            <w:tcW w:w="305" w:type="pct"/>
            <w:tcBorders>
              <w:bottom w:val="single" w:sz="4" w:space="0" w:color="auto"/>
            </w:tcBorders>
            <w:vAlign w:val="center"/>
          </w:tcPr>
          <w:p w14:paraId="65D06605"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182</w:t>
            </w:r>
          </w:p>
        </w:tc>
        <w:tc>
          <w:tcPr>
            <w:tcW w:w="437" w:type="pct"/>
            <w:tcBorders>
              <w:bottom w:val="single" w:sz="4" w:space="0" w:color="auto"/>
            </w:tcBorders>
            <w:vAlign w:val="center"/>
          </w:tcPr>
          <w:p w14:paraId="06E6BEF6"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173</w:t>
            </w:r>
          </w:p>
        </w:tc>
        <w:tc>
          <w:tcPr>
            <w:tcW w:w="821" w:type="pct"/>
            <w:tcBorders>
              <w:bottom w:val="single" w:sz="4" w:space="0" w:color="auto"/>
            </w:tcBorders>
          </w:tcPr>
          <w:p w14:paraId="5D38A17B" w14:textId="77777777" w:rsidR="002C42CA"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30%</w:t>
            </w:r>
          </w:p>
        </w:tc>
        <w:tc>
          <w:tcPr>
            <w:tcW w:w="821" w:type="pct"/>
            <w:tcBorders>
              <w:bottom w:val="single" w:sz="4" w:space="0" w:color="auto"/>
            </w:tcBorders>
            <w:vAlign w:val="center"/>
          </w:tcPr>
          <w:p w14:paraId="6097DBC6"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662" w:type="pct"/>
            <w:tcBorders>
              <w:bottom w:val="single" w:sz="4" w:space="0" w:color="auto"/>
            </w:tcBorders>
            <w:vAlign w:val="center"/>
          </w:tcPr>
          <w:p w14:paraId="3CD730F1"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0</w:t>
            </w:r>
          </w:p>
        </w:tc>
        <w:tc>
          <w:tcPr>
            <w:tcW w:w="865" w:type="pct"/>
            <w:tcBorders>
              <w:bottom w:val="single" w:sz="4" w:space="0" w:color="auto"/>
            </w:tcBorders>
            <w:vAlign w:val="center"/>
          </w:tcPr>
          <w:p w14:paraId="267D6A9D" w14:textId="77777777" w:rsidR="002C42CA" w:rsidRPr="00B26154" w:rsidRDefault="002C42CA" w:rsidP="00FE3177">
            <w:pPr>
              <w:pStyle w:val="FAPHeadingThree"/>
              <w:jc w:val="right"/>
              <w:rPr>
                <w:rFonts w:ascii="Arial Narrow" w:hAnsi="Arial Narrow" w:cs="Times New Roman"/>
                <w:i w:val="0"/>
                <w:sz w:val="20"/>
                <w:szCs w:val="20"/>
                <w:u w:val="none"/>
              </w:rPr>
            </w:pPr>
            <w:r>
              <w:rPr>
                <w:rFonts w:ascii="Arial Narrow" w:hAnsi="Arial Narrow" w:cs="Times New Roman"/>
                <w:i w:val="0"/>
                <w:sz w:val="20"/>
                <w:szCs w:val="20"/>
                <w:u w:val="none"/>
              </w:rPr>
              <w:t>9</w:t>
            </w:r>
          </w:p>
        </w:tc>
      </w:tr>
    </w:tbl>
    <w:p w14:paraId="410F57B0" w14:textId="77777777" w:rsidR="002C42CA" w:rsidRDefault="002C42CA" w:rsidP="002C42CA"/>
    <w:p w14:paraId="04A3D947" w14:textId="77777777" w:rsidR="002C42CA" w:rsidRDefault="002C42CA" w:rsidP="002C42CA">
      <w:r w:rsidRPr="009F5B63">
        <w:t xml:space="preserve">There is no known customary Maori or </w:t>
      </w:r>
      <w:r w:rsidRPr="001A1BAC">
        <w:t>recreational</w:t>
      </w:r>
      <w:r w:rsidRPr="009F5B63">
        <w:t xml:space="preserve"> take of scampi and it is proposed to retain zero allowances for these sectors.</w:t>
      </w:r>
      <w:r>
        <w:t xml:space="preserve"> </w:t>
      </w:r>
      <w:r w:rsidRPr="009F5B63">
        <w:t xml:space="preserve">In addition, </w:t>
      </w:r>
      <w:r>
        <w:t xml:space="preserve">MPI </w:t>
      </w:r>
      <w:r w:rsidRPr="009F5B63">
        <w:t>proposes to maintain the allocation for o</w:t>
      </w:r>
      <w:r>
        <w:t>ther sources of fishing related-</w:t>
      </w:r>
      <w:r w:rsidRPr="009F5B63">
        <w:t xml:space="preserve">mortality at 5% of the </w:t>
      </w:r>
      <w:r>
        <w:t>TACC</w:t>
      </w:r>
      <w:r w:rsidRPr="009F5B63">
        <w:t>.</w:t>
      </w:r>
      <w:r>
        <w:t xml:space="preserve"> MPI is not proposing any changes to SCI 2 deemed values rates. </w:t>
      </w:r>
    </w:p>
    <w:p w14:paraId="1CD32035" w14:textId="77777777" w:rsidR="00BE63E6" w:rsidRDefault="00BE63E6" w:rsidP="00BE63E6">
      <w:pPr>
        <w:rPr>
          <w:szCs w:val="24"/>
        </w:rPr>
      </w:pPr>
    </w:p>
    <w:p w14:paraId="6A87598F" w14:textId="256EF0B5" w:rsidR="00BE63E6" w:rsidRDefault="00BE63E6" w:rsidP="00BE63E6">
      <w:r>
        <w:rPr>
          <w:szCs w:val="24"/>
        </w:rPr>
        <w:t xml:space="preserve">MPI considers that the </w:t>
      </w:r>
      <w:r w:rsidR="00025775">
        <w:rPr>
          <w:szCs w:val="24"/>
        </w:rPr>
        <w:t xml:space="preserve">two </w:t>
      </w:r>
      <w:r>
        <w:rPr>
          <w:szCs w:val="24"/>
        </w:rPr>
        <w:t xml:space="preserve">options proposed in this document to increase the TAC, TACC and associated allowances to utilise the available biomass </w:t>
      </w:r>
      <w:r w:rsidR="00CD3E80">
        <w:rPr>
          <w:szCs w:val="24"/>
        </w:rPr>
        <w:t>pose</w:t>
      </w:r>
      <w:r>
        <w:rPr>
          <w:szCs w:val="24"/>
        </w:rPr>
        <w:t xml:space="preserve"> a relatively low sustainability risk.  </w:t>
      </w:r>
    </w:p>
    <w:p w14:paraId="6583A7A7" w14:textId="77777777" w:rsidR="00BE63E6" w:rsidRPr="00BF7860" w:rsidRDefault="00BE63E6" w:rsidP="00BE63E6"/>
    <w:p w14:paraId="06C3904E" w14:textId="5833D38D" w:rsidR="00BE63E6" w:rsidRPr="00A5641D" w:rsidRDefault="00BE63E6" w:rsidP="00BE63E6">
      <w:pPr>
        <w:pStyle w:val="ListParagraph"/>
        <w:ind w:left="0"/>
      </w:pPr>
      <w:r>
        <w:t xml:space="preserve">The SCI 2 fishery is assessed </w:t>
      </w:r>
      <w:r w:rsidR="00CD3E80">
        <w:t>frequently</w:t>
      </w:r>
      <w:r>
        <w:t xml:space="preserve"> </w:t>
      </w:r>
      <w:r w:rsidR="00E812C6">
        <w:t xml:space="preserve">by undertaking fishery-independent </w:t>
      </w:r>
      <w:r w:rsidR="00CD3E80">
        <w:t xml:space="preserve">surveys every </w:t>
      </w:r>
      <w:r>
        <w:t>three years</w:t>
      </w:r>
      <w:r w:rsidRPr="00A5641D">
        <w:t>,</w:t>
      </w:r>
      <w:r>
        <w:t xml:space="preserve"> and</w:t>
      </w:r>
      <w:r w:rsidRPr="00A5641D">
        <w:t xml:space="preserve"> MPI is confident that appropriate management action will be possible </w:t>
      </w:r>
      <w:r w:rsidR="00CD3E80">
        <w:t>to maintain the stock at or above its default management target</w:t>
      </w:r>
      <w:r w:rsidRPr="00A5641D">
        <w:t>.</w:t>
      </w:r>
    </w:p>
    <w:p w14:paraId="1783C3A0" w14:textId="77777777" w:rsidR="00BE63E6" w:rsidRPr="00C1404F" w:rsidRDefault="00BE63E6" w:rsidP="002C42CA"/>
    <w:p w14:paraId="34F488F3" w14:textId="77777777" w:rsidR="00471C3D" w:rsidRDefault="00471C3D" w:rsidP="00471C3D">
      <w:pPr>
        <w:pStyle w:val="Heading1"/>
      </w:pPr>
      <w:bookmarkStart w:id="14" w:name="_Toc453059197"/>
      <w:r>
        <w:t>Purpose</w:t>
      </w:r>
      <w:bookmarkEnd w:id="13"/>
      <w:bookmarkEnd w:id="14"/>
      <w:r>
        <w:t xml:space="preserve"> </w:t>
      </w:r>
    </w:p>
    <w:p w14:paraId="2436921E" w14:textId="77777777" w:rsidR="00471C3D" w:rsidRPr="009E1541" w:rsidRDefault="000308AC" w:rsidP="00471C3D">
      <w:pPr>
        <w:pStyle w:val="Heading2"/>
      </w:pPr>
      <w:bookmarkStart w:id="15" w:name="_Toc399138982"/>
      <w:bookmarkStart w:id="16" w:name="_Toc453059198"/>
      <w:r>
        <w:t>Issue/Need for a</w:t>
      </w:r>
      <w:r w:rsidR="00471C3D" w:rsidRPr="009E1541">
        <w:t>ction</w:t>
      </w:r>
      <w:bookmarkEnd w:id="15"/>
      <w:bookmarkEnd w:id="16"/>
      <w:r w:rsidR="00471C3D" w:rsidRPr="009E1541">
        <w:t xml:space="preserve"> </w:t>
      </w:r>
    </w:p>
    <w:p w14:paraId="5C905972" w14:textId="52E47EB7" w:rsidR="002C42CA" w:rsidRDefault="002C42CA" w:rsidP="002C42CA">
      <w:pPr>
        <w:pStyle w:val="ListParagraph"/>
        <w:ind w:left="0"/>
      </w:pPr>
      <w:bookmarkStart w:id="17" w:name="_Toc399138983"/>
      <w:r>
        <w:t>In 2016, the</w:t>
      </w:r>
      <w:r w:rsidRPr="007F3656">
        <w:t xml:space="preserve"> SCI 2 stock assessment was finalised and </w:t>
      </w:r>
      <w:r w:rsidRPr="00E5576E">
        <w:t>accepted</w:t>
      </w:r>
      <w:r w:rsidRPr="007F3656">
        <w:t xml:space="preserve"> by the Shel</w:t>
      </w:r>
      <w:r>
        <w:t xml:space="preserve">lfish Working Group </w:t>
      </w:r>
      <w:r w:rsidR="00CD7137">
        <w:t xml:space="preserve">(SFWG) </w:t>
      </w:r>
      <w:r>
        <w:t>and Plenary</w:t>
      </w:r>
      <w:r w:rsidRPr="007F3656">
        <w:t xml:space="preserve">. The stock assessment </w:t>
      </w:r>
      <w:r>
        <w:t>indicates that the current (2015</w:t>
      </w:r>
      <w:r w:rsidRPr="007F3656">
        <w:t>) SCI</w:t>
      </w:r>
      <w:r>
        <w:t xml:space="preserve"> </w:t>
      </w:r>
      <w:r w:rsidRPr="007F3656">
        <w:t>2 biomass</w:t>
      </w:r>
      <w:r>
        <w:t xml:space="preserve"> is</w:t>
      </w:r>
      <w:r w:rsidRPr="007F3656">
        <w:t xml:space="preserve"> </w:t>
      </w:r>
      <w:r>
        <w:t>estimated to be 101% B</w:t>
      </w:r>
      <w:r w:rsidRPr="009F5B63">
        <w:rPr>
          <w:vertAlign w:val="subscript"/>
        </w:rPr>
        <w:t>0</w:t>
      </w:r>
      <w:r w:rsidR="00CD3E80">
        <w:t>,</w:t>
      </w:r>
      <w:r w:rsidR="006358C5">
        <w:t xml:space="preserve"> </w:t>
      </w:r>
      <w:r w:rsidR="00CD3E80">
        <w:t>a return to its unfished level as a result of high recent recruitment</w:t>
      </w:r>
      <w:r w:rsidR="0065335B">
        <w:t>. The biomass is therefore currently well above</w:t>
      </w:r>
      <w:r w:rsidRPr="007F3656">
        <w:t xml:space="preserve"> the level that will support maximum sustainable yield</w:t>
      </w:r>
      <w:r w:rsidR="00331517">
        <w:rPr>
          <w:rStyle w:val="FootnoteReference"/>
        </w:rPr>
        <w:footnoteReference w:id="1"/>
      </w:r>
      <w:r w:rsidRPr="007F3656">
        <w:t xml:space="preserve"> </w:t>
      </w:r>
      <w:r w:rsidR="00331517">
        <w:t xml:space="preserve">(MSY) </w:t>
      </w:r>
      <w:r w:rsidRPr="007F3656">
        <w:t xml:space="preserve">and is </w:t>
      </w:r>
      <w:r w:rsidR="00F650E5">
        <w:t>v</w:t>
      </w:r>
      <w:r>
        <w:t xml:space="preserve">ery </w:t>
      </w:r>
      <w:r w:rsidR="00F650E5">
        <w:t>l</w:t>
      </w:r>
      <w:r>
        <w:t>ikely</w:t>
      </w:r>
      <w:r w:rsidRPr="007F3656">
        <w:t xml:space="preserve"> (</w:t>
      </w:r>
      <w:r>
        <w:t>&gt;90</w:t>
      </w:r>
      <w:r w:rsidRPr="007F3656">
        <w:t xml:space="preserve">% probability) to be at or above the </w:t>
      </w:r>
      <w:r>
        <w:t xml:space="preserve">default management </w:t>
      </w:r>
      <w:r w:rsidRPr="007F3656">
        <w:t>target of 40% B</w:t>
      </w:r>
      <w:r w:rsidRPr="007F3656">
        <w:rPr>
          <w:vertAlign w:val="subscript"/>
        </w:rPr>
        <w:t>0</w:t>
      </w:r>
      <w:r w:rsidRPr="007F3656">
        <w:t xml:space="preserve">. </w:t>
      </w:r>
      <w:r>
        <w:t>P</w:t>
      </w:r>
      <w:r w:rsidRPr="007F3656">
        <w:t>rojection</w:t>
      </w:r>
      <w:r>
        <w:t xml:space="preserve">s using various catch levels </w:t>
      </w:r>
      <w:r w:rsidRPr="007F3656">
        <w:t xml:space="preserve">indicate that the stock will remain at or above the management target with </w:t>
      </w:r>
      <w:r>
        <w:t xml:space="preserve">very </w:t>
      </w:r>
      <w:r w:rsidRPr="007F3656">
        <w:t>high likelihood</w:t>
      </w:r>
      <w:r w:rsidR="00231F12">
        <w:t xml:space="preserve"> over a five year period</w:t>
      </w:r>
      <w:r w:rsidRPr="007F3656">
        <w:t xml:space="preserve">. </w:t>
      </w:r>
    </w:p>
    <w:p w14:paraId="28C44E5F" w14:textId="77777777" w:rsidR="002C42CA" w:rsidRDefault="002C42CA" w:rsidP="002C42CA">
      <w:pPr>
        <w:pStyle w:val="ListParagraph"/>
        <w:ind w:left="0"/>
      </w:pPr>
    </w:p>
    <w:p w14:paraId="0DFF51D4" w14:textId="3F234E14" w:rsidR="002C42CA" w:rsidRDefault="002C42CA" w:rsidP="002C42CA">
      <w:pPr>
        <w:pStyle w:val="ListParagraph"/>
        <w:ind w:left="0"/>
      </w:pPr>
      <w:r w:rsidRPr="007F3656">
        <w:t>Given these results</w:t>
      </w:r>
      <w:r>
        <w:t>,</w:t>
      </w:r>
      <w:r w:rsidRPr="007F3656">
        <w:t xml:space="preserve"> MPI</w:t>
      </w:r>
      <w:r w:rsidR="006358C5">
        <w:t xml:space="preserve"> </w:t>
      </w:r>
      <w:r w:rsidR="0065335B">
        <w:t xml:space="preserve">considers </w:t>
      </w:r>
      <w:r w:rsidRPr="007F3656">
        <w:t xml:space="preserve">that there is an opportunity to </w:t>
      </w:r>
      <w:r>
        <w:t xml:space="preserve">increase </w:t>
      </w:r>
      <w:r w:rsidRPr="007F3656">
        <w:t>utilis</w:t>
      </w:r>
      <w:r>
        <w:t>ation based on</w:t>
      </w:r>
      <w:r w:rsidRPr="007F3656">
        <w:t xml:space="preserve"> </w:t>
      </w:r>
      <w:r>
        <w:t>current and projected biomass estimates.</w:t>
      </w:r>
    </w:p>
    <w:p w14:paraId="16F2F827" w14:textId="77777777" w:rsidR="002C42CA" w:rsidRDefault="002C42CA" w:rsidP="002C42CA">
      <w:pPr>
        <w:pStyle w:val="ListParagraph"/>
        <w:ind w:left="0"/>
      </w:pPr>
    </w:p>
    <w:p w14:paraId="0226A43F" w14:textId="77777777" w:rsidR="00471C3D" w:rsidRPr="005F5921" w:rsidRDefault="00471C3D" w:rsidP="00471C3D">
      <w:pPr>
        <w:pStyle w:val="Heading2"/>
      </w:pPr>
      <w:bookmarkStart w:id="18" w:name="_Toc453059199"/>
      <w:r w:rsidRPr="005F5921">
        <w:t>M</w:t>
      </w:r>
      <w:r w:rsidR="000308AC">
        <w:t>anagement a</w:t>
      </w:r>
      <w:r w:rsidRPr="005F5921">
        <w:t>pproach</w:t>
      </w:r>
      <w:bookmarkEnd w:id="17"/>
      <w:bookmarkEnd w:id="18"/>
    </w:p>
    <w:p w14:paraId="1F77C195" w14:textId="77777777" w:rsidR="002C42CA" w:rsidRDefault="002C42CA" w:rsidP="002C42CA">
      <w:r w:rsidRPr="00756282">
        <w:t xml:space="preserve">The scampi fishery is managed </w:t>
      </w:r>
      <w:r w:rsidR="009E50B0">
        <w:t>under</w:t>
      </w:r>
      <w:r w:rsidR="009E50B0" w:rsidRPr="00756282">
        <w:t xml:space="preserve"> </w:t>
      </w:r>
      <w:r w:rsidRPr="00756282">
        <w:t>the National Fisheries Plan for Deepwater and Middle-depth Fisheries (National Deepwater Plan)</w:t>
      </w:r>
      <w:r w:rsidR="00486FBC">
        <w:t xml:space="preserve">, which was approved by the Minister of </w:t>
      </w:r>
      <w:r w:rsidR="004969E7">
        <w:t>Fisheries</w:t>
      </w:r>
      <w:r w:rsidR="00DC1EE4">
        <w:t xml:space="preserve"> under section 11(a)</w:t>
      </w:r>
      <w:r w:rsidR="00486FBC">
        <w:t xml:space="preserve"> of the Fisheries Act 1996 (the Act).</w:t>
      </w:r>
      <w:r w:rsidRPr="00756282">
        <w:t xml:space="preserve"> </w:t>
      </w:r>
      <w:r w:rsidR="000407EF">
        <w:t xml:space="preserve">Within the </w:t>
      </w:r>
      <w:r w:rsidR="006C7368">
        <w:t>National Deepwater Plan</w:t>
      </w:r>
      <w:r w:rsidR="00CD7137">
        <w:t>,</w:t>
      </w:r>
      <w:r w:rsidR="006C7368">
        <w:t xml:space="preserve"> scampi is classed as a tier 1</w:t>
      </w:r>
      <w:r w:rsidR="00693BCD">
        <w:t xml:space="preserve"> species, and is considered a high value low volume fishery.</w:t>
      </w:r>
      <w:r w:rsidR="006C7368">
        <w:t xml:space="preserve"> Tier 1 fisheries are high volume and/or high value fisheries and are traditionally targeted. </w:t>
      </w:r>
      <w:r w:rsidRPr="00756282">
        <w:t xml:space="preserve">As part of the National </w:t>
      </w:r>
      <w:r>
        <w:t xml:space="preserve">Deepwater </w:t>
      </w:r>
      <w:r w:rsidRPr="00756282">
        <w:t>Plan</w:t>
      </w:r>
      <w:r>
        <w:t>,</w:t>
      </w:r>
      <w:r w:rsidRPr="00756282">
        <w:t xml:space="preserve"> a specific chapter for the scampi fishery is being developed</w:t>
      </w:r>
      <w:r>
        <w:t xml:space="preserve"> and the necessity for </w:t>
      </w:r>
      <w:r w:rsidRPr="00756282">
        <w:t>a species</w:t>
      </w:r>
      <w:r>
        <w:t>-</w:t>
      </w:r>
      <w:r w:rsidRPr="00756282">
        <w:t xml:space="preserve">specific harvest strategy </w:t>
      </w:r>
      <w:r>
        <w:t>will be assessed</w:t>
      </w:r>
      <w:r w:rsidRPr="00756282">
        <w:t xml:space="preserve">. </w:t>
      </w:r>
      <w:r>
        <w:t xml:space="preserve">In the absence of species specific measures, the </w:t>
      </w:r>
      <w:r w:rsidR="00F650E5">
        <w:t xml:space="preserve">fishery is being managed in accordance with the </w:t>
      </w:r>
      <w:r w:rsidRPr="00756282">
        <w:t xml:space="preserve">default </w:t>
      </w:r>
      <w:r>
        <w:t>reference points set out in the Harvest Strategy Standard (Table 2)</w:t>
      </w:r>
      <w:r w:rsidR="00CD7137" w:rsidRPr="00CD7137">
        <w:t xml:space="preserve">. The Harvest Strategy Standard is a policy statement of best practice in relation to the setting of targets and limits for New Zealand fishstocks managed under the </w:t>
      </w:r>
      <w:r w:rsidR="00CD7137">
        <w:t>quota management system (</w:t>
      </w:r>
      <w:r w:rsidR="00CD7137" w:rsidRPr="00CD7137">
        <w:t>QMS</w:t>
      </w:r>
      <w:r w:rsidR="00CD7137">
        <w:t>)</w:t>
      </w:r>
      <w:r w:rsidR="00CD7137" w:rsidRPr="00CD7137">
        <w:t>.</w:t>
      </w:r>
    </w:p>
    <w:p w14:paraId="504A298D" w14:textId="77777777" w:rsidR="002C42CA" w:rsidRDefault="002C42CA" w:rsidP="002C42CA"/>
    <w:p w14:paraId="4828EE73" w14:textId="10FBCF86" w:rsidR="002C42CA" w:rsidRDefault="00231F12" w:rsidP="002C42CA">
      <w:r>
        <w:t>The status of SCI 2</w:t>
      </w:r>
      <w:r w:rsidR="002C42CA">
        <w:t xml:space="preserve"> is assessed every three years using a fully quantitative stock assessment. Each stock assessment is preceded by a dedicated trawl and photographic research survey. </w:t>
      </w:r>
      <w:r w:rsidR="00025775">
        <w:t xml:space="preserve">The stock assessment methods and results are then evaluated and reviewed by the SFWG. </w:t>
      </w:r>
      <w:r w:rsidR="002C42CA">
        <w:t>Management is then further informed using projections based on the stock assessment model</w:t>
      </w:r>
      <w:r>
        <w:t xml:space="preserve"> developed for the SCI 2 fishery</w:t>
      </w:r>
      <w:r w:rsidR="002C42CA">
        <w:t xml:space="preserve">. </w:t>
      </w:r>
    </w:p>
    <w:p w14:paraId="65507EA7" w14:textId="77777777" w:rsidR="002C42CA" w:rsidRDefault="002C42CA" w:rsidP="002C42CA"/>
    <w:p w14:paraId="656FFD2F" w14:textId="77777777" w:rsidR="00D92FA9" w:rsidRDefault="00D92FA9" w:rsidP="002C42CA"/>
    <w:p w14:paraId="1450D602" w14:textId="77777777" w:rsidR="00D92FA9" w:rsidRDefault="00D92FA9" w:rsidP="002C42CA"/>
    <w:p w14:paraId="7C2ECDB6" w14:textId="77777777" w:rsidR="00D92FA9" w:rsidRDefault="00D92FA9" w:rsidP="002C42CA"/>
    <w:p w14:paraId="2A96A7CB" w14:textId="77777777" w:rsidR="00D92FA9" w:rsidRDefault="00D92FA9" w:rsidP="002C42CA"/>
    <w:p w14:paraId="70AFE724" w14:textId="77777777" w:rsidR="00D92FA9" w:rsidRDefault="00D92FA9" w:rsidP="002C42CA"/>
    <w:p w14:paraId="27434C76" w14:textId="77777777" w:rsidR="00D92FA9" w:rsidRDefault="00D92FA9" w:rsidP="002C42CA"/>
    <w:p w14:paraId="5BD9126C" w14:textId="77777777" w:rsidR="00D92FA9" w:rsidRDefault="00D92FA9" w:rsidP="002C42CA"/>
    <w:p w14:paraId="1A65F586" w14:textId="77777777" w:rsidR="005D76D7" w:rsidRDefault="005D76D7" w:rsidP="002C42CA"/>
    <w:p w14:paraId="31A4A4FC" w14:textId="77777777" w:rsidR="00D92FA9" w:rsidRDefault="00D92FA9" w:rsidP="002C42CA"/>
    <w:p w14:paraId="5C17B471" w14:textId="08B41728" w:rsidR="002C42CA" w:rsidRDefault="002C42CA" w:rsidP="002C42CA">
      <w:pPr>
        <w:rPr>
          <w:rFonts w:ascii="Arial Narrow" w:hAnsi="Arial Narrow"/>
          <w:b/>
          <w:szCs w:val="24"/>
        </w:rPr>
      </w:pPr>
      <w:r w:rsidRPr="005A515B">
        <w:rPr>
          <w:rFonts w:ascii="Arial Narrow" w:hAnsi="Arial Narrow"/>
          <w:b/>
          <w:szCs w:val="24"/>
        </w:rPr>
        <w:lastRenderedPageBreak/>
        <w:t xml:space="preserve">Table 2: </w:t>
      </w:r>
      <w:r w:rsidR="005D76D7">
        <w:rPr>
          <w:rFonts w:ascii="Arial Narrow" w:hAnsi="Arial Narrow"/>
          <w:b/>
          <w:szCs w:val="24"/>
        </w:rPr>
        <w:t>Scampi</w:t>
      </w:r>
      <w:r w:rsidR="005D76D7" w:rsidRPr="002C345D">
        <w:rPr>
          <w:rFonts w:ascii="Arial Narrow" w:hAnsi="Arial Narrow"/>
          <w:b/>
          <w:szCs w:val="24"/>
        </w:rPr>
        <w:t xml:space="preserve"> default reference points, and the associated management response</w:t>
      </w:r>
      <w:r w:rsidR="005D76D7" w:rsidRPr="005A515B" w:rsidDel="005D76D7">
        <w:rPr>
          <w:rFonts w:ascii="Arial Narrow" w:hAnsi="Arial Narrow"/>
          <w:b/>
          <w:szCs w:val="24"/>
        </w:rPr>
        <w:t xml:space="preserve"> </w:t>
      </w:r>
    </w:p>
    <w:p w14:paraId="149273AA" w14:textId="77777777" w:rsidR="00FD51DD" w:rsidRDefault="00FD51DD" w:rsidP="002C42CA">
      <w:pPr>
        <w:rPr>
          <w:rFonts w:ascii="Arial Narrow" w:hAnsi="Arial Narrow"/>
          <w:b/>
          <w:szCs w:val="24"/>
        </w:rPr>
      </w:pPr>
    </w:p>
    <w:tbl>
      <w:tblPr>
        <w:tblW w:w="8700" w:type="dxa"/>
        <w:jc w:val="center"/>
        <w:tblCellMar>
          <w:left w:w="0" w:type="dxa"/>
          <w:right w:w="0" w:type="dxa"/>
        </w:tblCellMar>
        <w:tblLook w:val="04A0" w:firstRow="1" w:lastRow="0" w:firstColumn="1" w:lastColumn="0" w:noHBand="0" w:noVBand="1"/>
      </w:tblPr>
      <w:tblGrid>
        <w:gridCol w:w="2835"/>
        <w:gridCol w:w="5865"/>
      </w:tblGrid>
      <w:tr w:rsidR="00FD51DD" w:rsidRPr="005B4D22" w14:paraId="46BDDBFA" w14:textId="77777777" w:rsidTr="008E748F">
        <w:trPr>
          <w:trHeight w:val="255"/>
          <w:jc w:val="center"/>
        </w:trPr>
        <w:tc>
          <w:tcPr>
            <w:tcW w:w="2835" w:type="dxa"/>
            <w:tcBorders>
              <w:top w:val="single" w:sz="8" w:space="0" w:color="auto"/>
              <w:bottom w:val="single" w:sz="8" w:space="0" w:color="auto"/>
            </w:tcBorders>
            <w:shd w:val="clear" w:color="auto" w:fill="auto"/>
            <w:noWrap/>
            <w:tcMar>
              <w:top w:w="0" w:type="dxa"/>
              <w:left w:w="108" w:type="dxa"/>
              <w:bottom w:w="0" w:type="dxa"/>
              <w:right w:w="108" w:type="dxa"/>
            </w:tcMar>
            <w:vAlign w:val="bottom"/>
            <w:hideMark/>
          </w:tcPr>
          <w:p w14:paraId="7F55FA2A" w14:textId="77777777" w:rsidR="00FD51DD" w:rsidRPr="005B4D22" w:rsidRDefault="00FD51DD" w:rsidP="008E748F">
            <w:pPr>
              <w:rPr>
                <w:rFonts w:ascii="Arial Narrow" w:hAnsi="Arial Narrow"/>
                <w:b/>
                <w:bCs/>
                <w:sz w:val="22"/>
                <w:lang w:val="en-GB"/>
              </w:rPr>
            </w:pPr>
            <w:r w:rsidRPr="005B4D22">
              <w:rPr>
                <w:rFonts w:ascii="Arial Narrow" w:hAnsi="Arial Narrow"/>
                <w:b/>
                <w:bCs/>
                <w:sz w:val="22"/>
                <w:lang w:val="en-GB"/>
              </w:rPr>
              <w:t>Reference point</w:t>
            </w:r>
          </w:p>
        </w:tc>
        <w:tc>
          <w:tcPr>
            <w:tcW w:w="5865" w:type="dxa"/>
            <w:tcBorders>
              <w:top w:val="single" w:sz="8" w:space="0" w:color="auto"/>
              <w:bottom w:val="single" w:sz="8" w:space="0" w:color="auto"/>
            </w:tcBorders>
            <w:shd w:val="clear" w:color="auto" w:fill="auto"/>
            <w:noWrap/>
            <w:tcMar>
              <w:top w:w="0" w:type="dxa"/>
              <w:left w:w="108" w:type="dxa"/>
              <w:bottom w:w="0" w:type="dxa"/>
              <w:right w:w="108" w:type="dxa"/>
            </w:tcMar>
            <w:vAlign w:val="bottom"/>
            <w:hideMark/>
          </w:tcPr>
          <w:p w14:paraId="206B12D3" w14:textId="77777777" w:rsidR="00FD51DD" w:rsidRPr="005B4D22" w:rsidRDefault="00FD51DD" w:rsidP="008E748F">
            <w:pPr>
              <w:rPr>
                <w:rFonts w:ascii="Arial Narrow" w:hAnsi="Arial Narrow"/>
                <w:b/>
                <w:bCs/>
                <w:sz w:val="22"/>
                <w:lang w:val="en-GB"/>
              </w:rPr>
            </w:pPr>
            <w:r w:rsidRPr="005B4D22">
              <w:rPr>
                <w:rFonts w:ascii="Arial Narrow" w:hAnsi="Arial Narrow"/>
                <w:b/>
                <w:bCs/>
                <w:sz w:val="22"/>
                <w:lang w:val="en-GB"/>
              </w:rPr>
              <w:t>Management response</w:t>
            </w:r>
          </w:p>
        </w:tc>
      </w:tr>
      <w:tr w:rsidR="00FD51DD" w:rsidRPr="005B4D22" w14:paraId="64477DC5" w14:textId="77777777" w:rsidTr="008E748F">
        <w:trPr>
          <w:trHeight w:val="692"/>
          <w:jc w:val="center"/>
        </w:trPr>
        <w:tc>
          <w:tcPr>
            <w:tcW w:w="2835" w:type="dxa"/>
            <w:tcBorders>
              <w:top w:val="single" w:sz="8" w:space="0" w:color="auto"/>
              <w:bottom w:val="single" w:sz="8" w:space="0" w:color="auto"/>
            </w:tcBorders>
            <w:shd w:val="clear" w:color="auto" w:fill="auto"/>
            <w:noWrap/>
            <w:tcMar>
              <w:top w:w="0" w:type="dxa"/>
              <w:left w:w="108" w:type="dxa"/>
              <w:bottom w:w="0" w:type="dxa"/>
              <w:right w:w="108" w:type="dxa"/>
            </w:tcMar>
            <w:vAlign w:val="center"/>
            <w:hideMark/>
          </w:tcPr>
          <w:p w14:paraId="7CACEFEA" w14:textId="77777777" w:rsidR="00FD51DD" w:rsidRPr="005B4D22" w:rsidRDefault="00FD51DD" w:rsidP="008E748F">
            <w:pPr>
              <w:rPr>
                <w:rFonts w:ascii="Arial Narrow" w:hAnsi="Arial Narrow"/>
                <w:b/>
                <w:sz w:val="22"/>
                <w:lang w:val="en-GB"/>
              </w:rPr>
            </w:pPr>
            <w:r w:rsidRPr="005B4D22">
              <w:rPr>
                <w:rFonts w:ascii="Arial Narrow" w:hAnsi="Arial Narrow"/>
                <w:b/>
                <w:sz w:val="22"/>
                <w:lang w:val="en-GB"/>
              </w:rPr>
              <w:t>Management target of 40% B</w:t>
            </w:r>
            <w:r w:rsidRPr="005B4D22">
              <w:rPr>
                <w:rFonts w:ascii="Arial Narrow" w:hAnsi="Arial Narrow"/>
                <w:b/>
                <w:sz w:val="22"/>
                <w:vertAlign w:val="subscript"/>
                <w:lang w:val="en-GB"/>
              </w:rPr>
              <w:t>0</w:t>
            </w:r>
          </w:p>
        </w:tc>
        <w:tc>
          <w:tcPr>
            <w:tcW w:w="5865" w:type="dxa"/>
            <w:tcBorders>
              <w:top w:val="single" w:sz="8" w:space="0" w:color="auto"/>
              <w:bottom w:val="single" w:sz="8" w:space="0" w:color="auto"/>
            </w:tcBorders>
            <w:shd w:val="clear" w:color="auto" w:fill="auto"/>
            <w:tcMar>
              <w:top w:w="0" w:type="dxa"/>
              <w:left w:w="108" w:type="dxa"/>
              <w:bottom w:w="0" w:type="dxa"/>
              <w:right w:w="108" w:type="dxa"/>
            </w:tcMar>
            <w:vAlign w:val="center"/>
            <w:hideMark/>
          </w:tcPr>
          <w:p w14:paraId="117CEC01" w14:textId="77777777" w:rsidR="00FD51DD" w:rsidRPr="005B4D22" w:rsidRDefault="00FD51DD" w:rsidP="008E748F">
            <w:pPr>
              <w:rPr>
                <w:rFonts w:ascii="Arial Narrow" w:hAnsi="Arial Narrow"/>
                <w:sz w:val="22"/>
                <w:lang w:val="en-GB"/>
              </w:rPr>
            </w:pPr>
            <w:r w:rsidRPr="005B4D22">
              <w:rPr>
                <w:rFonts w:ascii="Arial Narrow" w:hAnsi="Arial Narrow"/>
                <w:sz w:val="22"/>
                <w:lang w:val="en-GB"/>
              </w:rPr>
              <w:t xml:space="preserve">Stock permitted to fluctuate around this management target. </w:t>
            </w:r>
          </w:p>
          <w:p w14:paraId="0076AFEB" w14:textId="77777777" w:rsidR="00FD51DD" w:rsidRPr="005B4D22" w:rsidRDefault="00FD51DD" w:rsidP="008E748F">
            <w:pPr>
              <w:rPr>
                <w:rFonts w:ascii="Arial Narrow" w:hAnsi="Arial Narrow"/>
                <w:sz w:val="22"/>
                <w:lang w:val="en-GB"/>
              </w:rPr>
            </w:pPr>
            <w:r w:rsidRPr="005B4D22">
              <w:rPr>
                <w:rFonts w:ascii="Arial Narrow" w:hAnsi="Arial Narrow"/>
                <w:sz w:val="22"/>
                <w:lang w:val="en-GB"/>
              </w:rPr>
              <w:t>TAC changes will be employed to move stock toward or above target.</w:t>
            </w:r>
          </w:p>
        </w:tc>
      </w:tr>
      <w:tr w:rsidR="00FD51DD" w:rsidRPr="005B4D22" w14:paraId="0A2AB4DA" w14:textId="77777777" w:rsidTr="008E748F">
        <w:trPr>
          <w:trHeight w:val="689"/>
          <w:jc w:val="center"/>
        </w:trPr>
        <w:tc>
          <w:tcPr>
            <w:tcW w:w="2835" w:type="dxa"/>
            <w:tcBorders>
              <w:top w:val="single" w:sz="8" w:space="0" w:color="auto"/>
              <w:bottom w:val="single" w:sz="8" w:space="0" w:color="auto"/>
            </w:tcBorders>
            <w:shd w:val="clear" w:color="auto" w:fill="auto"/>
            <w:noWrap/>
            <w:tcMar>
              <w:top w:w="0" w:type="dxa"/>
              <w:left w:w="108" w:type="dxa"/>
              <w:bottom w:w="0" w:type="dxa"/>
              <w:right w:w="108" w:type="dxa"/>
            </w:tcMar>
            <w:vAlign w:val="center"/>
            <w:hideMark/>
          </w:tcPr>
          <w:p w14:paraId="25B0DFA3" w14:textId="77777777" w:rsidR="00FD51DD" w:rsidRPr="005B4D22" w:rsidRDefault="00FD51DD" w:rsidP="008E748F">
            <w:pPr>
              <w:rPr>
                <w:rFonts w:ascii="Arial Narrow" w:hAnsi="Arial Narrow"/>
                <w:b/>
                <w:sz w:val="22"/>
                <w:lang w:val="en-GB"/>
              </w:rPr>
            </w:pPr>
            <w:r w:rsidRPr="005B4D22">
              <w:rPr>
                <w:rFonts w:ascii="Arial Narrow" w:hAnsi="Arial Narrow"/>
                <w:b/>
                <w:sz w:val="22"/>
                <w:lang w:val="en-GB"/>
              </w:rPr>
              <w:t>Soft limit of 20% B</w:t>
            </w:r>
            <w:r w:rsidRPr="005B4D22">
              <w:rPr>
                <w:rFonts w:ascii="Arial Narrow" w:hAnsi="Arial Narrow"/>
                <w:b/>
                <w:sz w:val="22"/>
                <w:vertAlign w:val="subscript"/>
                <w:lang w:val="en-GB"/>
              </w:rPr>
              <w:t>0</w:t>
            </w:r>
          </w:p>
        </w:tc>
        <w:tc>
          <w:tcPr>
            <w:tcW w:w="5865" w:type="dxa"/>
            <w:tcBorders>
              <w:top w:val="single" w:sz="8" w:space="0" w:color="auto"/>
              <w:bottom w:val="single" w:sz="8" w:space="0" w:color="auto"/>
            </w:tcBorders>
            <w:shd w:val="clear" w:color="auto" w:fill="auto"/>
            <w:tcMar>
              <w:top w:w="0" w:type="dxa"/>
              <w:left w:w="108" w:type="dxa"/>
              <w:bottom w:w="0" w:type="dxa"/>
              <w:right w:w="108" w:type="dxa"/>
            </w:tcMar>
            <w:vAlign w:val="center"/>
            <w:hideMark/>
          </w:tcPr>
          <w:p w14:paraId="0D8032D4" w14:textId="77777777" w:rsidR="00FD51DD" w:rsidRPr="005B4D22" w:rsidRDefault="00FD51DD" w:rsidP="008E748F">
            <w:pPr>
              <w:rPr>
                <w:rFonts w:ascii="Arial Narrow" w:hAnsi="Arial Narrow"/>
                <w:sz w:val="22"/>
                <w:lang w:val="en-GB"/>
              </w:rPr>
            </w:pPr>
            <w:r w:rsidRPr="005B4D22">
              <w:rPr>
                <w:rFonts w:ascii="Arial Narrow" w:hAnsi="Arial Narrow"/>
                <w:sz w:val="22"/>
                <w:lang w:val="en-GB"/>
              </w:rPr>
              <w:t>A formal time constrained rebuilding plan will be implemented if this limit is reached.</w:t>
            </w:r>
          </w:p>
        </w:tc>
      </w:tr>
      <w:tr w:rsidR="00FD51DD" w:rsidRPr="005B4D22" w14:paraId="55D799BD" w14:textId="77777777" w:rsidTr="008E748F">
        <w:trPr>
          <w:trHeight w:val="543"/>
          <w:jc w:val="center"/>
        </w:trPr>
        <w:tc>
          <w:tcPr>
            <w:tcW w:w="2835" w:type="dxa"/>
            <w:tcBorders>
              <w:top w:val="single" w:sz="8" w:space="0" w:color="auto"/>
              <w:bottom w:val="single" w:sz="8" w:space="0" w:color="auto"/>
            </w:tcBorders>
            <w:shd w:val="clear" w:color="auto" w:fill="auto"/>
            <w:noWrap/>
            <w:tcMar>
              <w:top w:w="0" w:type="dxa"/>
              <w:left w:w="108" w:type="dxa"/>
              <w:bottom w:w="0" w:type="dxa"/>
              <w:right w:w="108" w:type="dxa"/>
            </w:tcMar>
            <w:vAlign w:val="center"/>
            <w:hideMark/>
          </w:tcPr>
          <w:p w14:paraId="2368CDC3" w14:textId="77777777" w:rsidR="00FD51DD" w:rsidRPr="005B4D22" w:rsidRDefault="00FD51DD" w:rsidP="008E748F">
            <w:pPr>
              <w:rPr>
                <w:rFonts w:ascii="Arial Narrow" w:hAnsi="Arial Narrow"/>
                <w:b/>
                <w:sz w:val="22"/>
                <w:lang w:val="en-GB"/>
              </w:rPr>
            </w:pPr>
            <w:r w:rsidRPr="005B4D22">
              <w:rPr>
                <w:rFonts w:ascii="Arial Narrow" w:hAnsi="Arial Narrow"/>
                <w:b/>
                <w:sz w:val="22"/>
                <w:lang w:val="en-GB"/>
              </w:rPr>
              <w:t>Hard limit of 10% B</w:t>
            </w:r>
            <w:r w:rsidRPr="005B4D22">
              <w:rPr>
                <w:rFonts w:ascii="Arial Narrow" w:hAnsi="Arial Narrow"/>
                <w:b/>
                <w:sz w:val="22"/>
                <w:vertAlign w:val="subscript"/>
                <w:lang w:val="en-GB"/>
              </w:rPr>
              <w:t>0</w:t>
            </w:r>
          </w:p>
        </w:tc>
        <w:tc>
          <w:tcPr>
            <w:tcW w:w="5865" w:type="dxa"/>
            <w:tcBorders>
              <w:top w:val="single" w:sz="8" w:space="0" w:color="auto"/>
              <w:bottom w:val="single" w:sz="8" w:space="0" w:color="auto"/>
            </w:tcBorders>
            <w:shd w:val="clear" w:color="auto" w:fill="auto"/>
            <w:tcMar>
              <w:top w:w="0" w:type="dxa"/>
              <w:left w:w="108" w:type="dxa"/>
              <w:bottom w:w="0" w:type="dxa"/>
              <w:right w:w="108" w:type="dxa"/>
            </w:tcMar>
            <w:vAlign w:val="center"/>
            <w:hideMark/>
          </w:tcPr>
          <w:p w14:paraId="06AA7F05" w14:textId="77777777" w:rsidR="00FD51DD" w:rsidRPr="005B4D22" w:rsidRDefault="00FD51DD" w:rsidP="008E748F">
            <w:pPr>
              <w:rPr>
                <w:rFonts w:ascii="Arial Narrow" w:hAnsi="Arial Narrow"/>
                <w:sz w:val="22"/>
                <w:lang w:val="en-GB"/>
              </w:rPr>
            </w:pPr>
            <w:r w:rsidRPr="005B4D22">
              <w:rPr>
                <w:rFonts w:ascii="Arial Narrow" w:hAnsi="Arial Narrow"/>
                <w:sz w:val="22"/>
                <w:lang w:val="en-GB"/>
              </w:rPr>
              <w:t xml:space="preserve">The limit below which fisheries will be considered for closure. </w:t>
            </w:r>
          </w:p>
        </w:tc>
      </w:tr>
      <w:tr w:rsidR="00FD51DD" w:rsidRPr="005B4D22" w14:paraId="6C552C64" w14:textId="77777777" w:rsidTr="008E748F">
        <w:trPr>
          <w:trHeight w:val="531"/>
          <w:jc w:val="center"/>
        </w:trPr>
        <w:tc>
          <w:tcPr>
            <w:tcW w:w="2835" w:type="dxa"/>
            <w:tcBorders>
              <w:top w:val="single" w:sz="8" w:space="0" w:color="auto"/>
              <w:bottom w:val="single" w:sz="8" w:space="0" w:color="auto"/>
            </w:tcBorders>
            <w:shd w:val="clear" w:color="auto" w:fill="auto"/>
            <w:noWrap/>
            <w:tcMar>
              <w:top w:w="0" w:type="dxa"/>
              <w:left w:w="108" w:type="dxa"/>
              <w:bottom w:w="0" w:type="dxa"/>
              <w:right w:w="108" w:type="dxa"/>
            </w:tcMar>
            <w:vAlign w:val="center"/>
            <w:hideMark/>
          </w:tcPr>
          <w:p w14:paraId="4B31C6F8" w14:textId="77777777" w:rsidR="00FD51DD" w:rsidRPr="005B4D22" w:rsidRDefault="00FD51DD" w:rsidP="008E748F">
            <w:pPr>
              <w:rPr>
                <w:rFonts w:ascii="Arial Narrow" w:hAnsi="Arial Narrow"/>
                <w:b/>
                <w:sz w:val="22"/>
                <w:lang w:val="en-GB"/>
              </w:rPr>
            </w:pPr>
            <w:r w:rsidRPr="005B4D22">
              <w:rPr>
                <w:rFonts w:ascii="Arial Narrow" w:hAnsi="Arial Narrow"/>
                <w:b/>
                <w:sz w:val="22"/>
                <w:lang w:val="en-GB"/>
              </w:rPr>
              <w:t>Harvest control rule</w:t>
            </w:r>
          </w:p>
        </w:tc>
        <w:tc>
          <w:tcPr>
            <w:tcW w:w="5865" w:type="dxa"/>
            <w:tcBorders>
              <w:top w:val="single" w:sz="8" w:space="0" w:color="auto"/>
              <w:bottom w:val="single" w:sz="8" w:space="0" w:color="auto"/>
            </w:tcBorders>
            <w:shd w:val="clear" w:color="auto" w:fill="auto"/>
            <w:tcMar>
              <w:top w:w="0" w:type="dxa"/>
              <w:left w:w="108" w:type="dxa"/>
              <w:bottom w:w="0" w:type="dxa"/>
              <w:right w:w="108" w:type="dxa"/>
            </w:tcMar>
            <w:vAlign w:val="center"/>
            <w:hideMark/>
          </w:tcPr>
          <w:p w14:paraId="4FAAF3BB" w14:textId="77777777" w:rsidR="00FD51DD" w:rsidRPr="005B4D22" w:rsidRDefault="00FD51DD" w:rsidP="008E748F">
            <w:pPr>
              <w:rPr>
                <w:rFonts w:ascii="Arial Narrow" w:hAnsi="Arial Narrow"/>
                <w:sz w:val="22"/>
                <w:lang w:val="en-GB"/>
              </w:rPr>
            </w:pPr>
            <w:r w:rsidRPr="005B4D22">
              <w:rPr>
                <w:rFonts w:ascii="Arial Narrow" w:hAnsi="Arial Narrow"/>
                <w:sz w:val="22"/>
                <w:lang w:val="en-GB"/>
              </w:rPr>
              <w:t>Management actions determined by the results of a series of forward projections under a range of catch assumptions, guided by the biological reference points</w:t>
            </w:r>
          </w:p>
        </w:tc>
      </w:tr>
    </w:tbl>
    <w:p w14:paraId="342C6D6D" w14:textId="77777777" w:rsidR="00FD51DD" w:rsidRDefault="00FD51DD" w:rsidP="002C42CA">
      <w:pPr>
        <w:rPr>
          <w:rFonts w:ascii="Arial Narrow" w:hAnsi="Arial Narrow"/>
          <w:b/>
          <w:szCs w:val="24"/>
        </w:rPr>
      </w:pPr>
    </w:p>
    <w:p w14:paraId="5089368A" w14:textId="77777777" w:rsidR="00471C3D" w:rsidRDefault="00471C3D" w:rsidP="00471C3D">
      <w:pPr>
        <w:pStyle w:val="Heading1"/>
      </w:pPr>
      <w:bookmarkStart w:id="19" w:name="_Toc399138984"/>
      <w:bookmarkStart w:id="20" w:name="_Toc453059200"/>
      <w:r>
        <w:t>Background Information</w:t>
      </w:r>
      <w:bookmarkEnd w:id="19"/>
      <w:bookmarkEnd w:id="20"/>
    </w:p>
    <w:p w14:paraId="3AFE3C73" w14:textId="77777777" w:rsidR="00471C3D" w:rsidRDefault="000308AC" w:rsidP="00471C3D">
      <w:pPr>
        <w:pStyle w:val="Heading2"/>
      </w:pPr>
      <w:bookmarkStart w:id="21" w:name="_Toc399138985"/>
      <w:bookmarkStart w:id="22" w:name="_Toc453059201"/>
      <w:r>
        <w:t>Biological c</w:t>
      </w:r>
      <w:r w:rsidR="00471C3D" w:rsidRPr="008B6C6E">
        <w:t xml:space="preserve">haracteristics of </w:t>
      </w:r>
      <w:bookmarkEnd w:id="21"/>
      <w:r w:rsidR="002C42CA">
        <w:t>scampi</w:t>
      </w:r>
      <w:bookmarkEnd w:id="22"/>
    </w:p>
    <w:p w14:paraId="4661EC55" w14:textId="77777777" w:rsidR="00B653CB" w:rsidRDefault="00B653CB" w:rsidP="00B653CB">
      <w:bookmarkStart w:id="23" w:name="_Toc399138986"/>
      <w:r w:rsidRPr="00756282">
        <w:t xml:space="preserve">Scampi are burrowing crustaceans that are widely distributed around the </w:t>
      </w:r>
      <w:r>
        <w:t>continental slope</w:t>
      </w:r>
      <w:r w:rsidRPr="00756282">
        <w:t xml:space="preserve"> of </w:t>
      </w:r>
      <w:r>
        <w:t>New Zealand, usually between 200-500</w:t>
      </w:r>
      <w:r w:rsidRPr="00756282">
        <w:t xml:space="preserve"> m depth. Studies estimate that</w:t>
      </w:r>
      <w:r>
        <w:t xml:space="preserve"> scampi are approximately 3-4 years at 30 mm orbital carapace length </w:t>
      </w:r>
      <w:r w:rsidRPr="00756282">
        <w:t>and may live for 15-20 years.</w:t>
      </w:r>
      <w:r>
        <w:t xml:space="preserve"> </w:t>
      </w:r>
      <w:r w:rsidRPr="00756282">
        <w:t>However</w:t>
      </w:r>
      <w:r>
        <w:t>,</w:t>
      </w:r>
      <w:r w:rsidRPr="00756282">
        <w:t xml:space="preserve"> the size and growth of scampi within New Zealand has been shown to differ </w:t>
      </w:r>
      <w:r>
        <w:t>among</w:t>
      </w:r>
      <w:r w:rsidRPr="00756282">
        <w:t xml:space="preserve"> the regional stocks</w:t>
      </w:r>
      <w:r>
        <w:t xml:space="preserve">. </w:t>
      </w:r>
      <w:r w:rsidRPr="00756282">
        <w:t xml:space="preserve">Scampi </w:t>
      </w:r>
      <w:r>
        <w:t>from SCI 2</w:t>
      </w:r>
      <w:r w:rsidRPr="00756282">
        <w:t xml:space="preserve"> achieve sexual maturity around </w:t>
      </w:r>
      <w:r>
        <w:t>30-</w:t>
      </w:r>
      <w:r w:rsidRPr="00756282">
        <w:t xml:space="preserve">36 mm. </w:t>
      </w:r>
      <w:r w:rsidRPr="008A7C96">
        <w:t>L</w:t>
      </w:r>
      <w:r w:rsidRPr="001A1BAC">
        <w:t xml:space="preserve">arval </w:t>
      </w:r>
      <w:r>
        <w:t xml:space="preserve">development is very short, estimated to be less than three days, which suggests low rates of gene mixing between populations. </w:t>
      </w:r>
      <w:r w:rsidRPr="008A7C96">
        <w:t>L</w:t>
      </w:r>
      <w:r w:rsidRPr="001A1BAC">
        <w:t xml:space="preserve">arval development characteristics </w:t>
      </w:r>
      <w:r>
        <w:t xml:space="preserve">and differences in size and growth between populations </w:t>
      </w:r>
      <w:r w:rsidRPr="001A1BAC">
        <w:t>of scampi support the treatment of SCI 2 as a separate stock.</w:t>
      </w:r>
    </w:p>
    <w:p w14:paraId="35B44994" w14:textId="77777777" w:rsidR="00B653CB" w:rsidRPr="0090091E" w:rsidRDefault="00B653CB" w:rsidP="00B653CB"/>
    <w:p w14:paraId="60777E4B" w14:textId="77777777" w:rsidR="00471C3D" w:rsidRPr="00B03188" w:rsidRDefault="000308AC" w:rsidP="00471C3D">
      <w:pPr>
        <w:pStyle w:val="Heading2"/>
      </w:pPr>
      <w:bookmarkStart w:id="24" w:name="_Toc453059202"/>
      <w:r>
        <w:t>Fishery d</w:t>
      </w:r>
      <w:r w:rsidR="00471C3D" w:rsidRPr="00B03188">
        <w:t>escription</w:t>
      </w:r>
      <w:bookmarkEnd w:id="23"/>
      <w:bookmarkEnd w:id="24"/>
      <w:r w:rsidR="00471C3D" w:rsidRPr="00B03188">
        <w:t xml:space="preserve"> </w:t>
      </w:r>
    </w:p>
    <w:p w14:paraId="6334E0AE" w14:textId="0BF1374C" w:rsidR="00B653CB" w:rsidRPr="00756282" w:rsidRDefault="00B653CB" w:rsidP="00B653CB">
      <w:pPr>
        <w:pStyle w:val="FAPHeadingOne"/>
        <w:spacing w:after="240"/>
        <w:rPr>
          <w:rFonts w:ascii="Times New Roman" w:hAnsi="Times New Roman" w:cs="Times New Roman"/>
          <w:b w:val="0"/>
          <w:szCs w:val="22"/>
        </w:rPr>
      </w:pPr>
      <w:bookmarkStart w:id="25" w:name="_Toc399138987"/>
      <w:r w:rsidRPr="00756282">
        <w:rPr>
          <w:rFonts w:ascii="Times New Roman" w:hAnsi="Times New Roman" w:cs="Times New Roman"/>
          <w:b w:val="0"/>
          <w:szCs w:val="22"/>
        </w:rPr>
        <w:t>The SCI</w:t>
      </w:r>
      <w:r>
        <w:rPr>
          <w:rFonts w:ascii="Times New Roman" w:hAnsi="Times New Roman" w:cs="Times New Roman"/>
          <w:b w:val="0"/>
          <w:szCs w:val="22"/>
        </w:rPr>
        <w:t xml:space="preserve"> </w:t>
      </w:r>
      <w:r w:rsidRPr="00756282">
        <w:rPr>
          <w:rFonts w:ascii="Times New Roman" w:hAnsi="Times New Roman" w:cs="Times New Roman"/>
          <w:b w:val="0"/>
          <w:szCs w:val="22"/>
        </w:rPr>
        <w:t>2 fishery developed through the late 1980s and early 1990s. The n</w:t>
      </w:r>
      <w:r>
        <w:rPr>
          <w:rFonts w:ascii="Times New Roman" w:hAnsi="Times New Roman" w:cs="Times New Roman"/>
          <w:b w:val="0"/>
          <w:szCs w:val="22"/>
        </w:rPr>
        <w:t xml:space="preserve">umber of fishing vessels in SCI 2 </w:t>
      </w:r>
      <w:r w:rsidRPr="00756282">
        <w:rPr>
          <w:rFonts w:ascii="Times New Roman" w:hAnsi="Times New Roman" w:cs="Times New Roman"/>
          <w:b w:val="0"/>
          <w:szCs w:val="22"/>
        </w:rPr>
        <w:t>has fluctuated</w:t>
      </w:r>
      <w:r>
        <w:rPr>
          <w:rFonts w:ascii="Times New Roman" w:hAnsi="Times New Roman" w:cs="Times New Roman"/>
          <w:b w:val="0"/>
          <w:szCs w:val="22"/>
        </w:rPr>
        <w:t>,</w:t>
      </w:r>
      <w:r w:rsidRPr="00756282">
        <w:rPr>
          <w:rFonts w:ascii="Times New Roman" w:hAnsi="Times New Roman" w:cs="Times New Roman"/>
          <w:b w:val="0"/>
          <w:szCs w:val="22"/>
        </w:rPr>
        <w:t xml:space="preserve"> </w:t>
      </w:r>
      <w:r>
        <w:rPr>
          <w:rFonts w:ascii="Times New Roman" w:hAnsi="Times New Roman" w:cs="Times New Roman"/>
          <w:b w:val="0"/>
          <w:szCs w:val="22"/>
        </w:rPr>
        <w:t>with five to nine vessels fishing in the area</w:t>
      </w:r>
      <w:r w:rsidRPr="00B71E8B">
        <w:rPr>
          <w:rFonts w:ascii="Times New Roman" w:hAnsi="Times New Roman" w:cs="Times New Roman"/>
          <w:b w:val="0"/>
          <w:szCs w:val="22"/>
        </w:rPr>
        <w:t xml:space="preserve"> over the past </w:t>
      </w:r>
      <w:r>
        <w:rPr>
          <w:rFonts w:ascii="Times New Roman" w:hAnsi="Times New Roman" w:cs="Times New Roman"/>
          <w:b w:val="0"/>
          <w:szCs w:val="22"/>
        </w:rPr>
        <w:t>five</w:t>
      </w:r>
      <w:r w:rsidRPr="00B71E8B">
        <w:rPr>
          <w:rFonts w:ascii="Times New Roman" w:hAnsi="Times New Roman" w:cs="Times New Roman"/>
          <w:b w:val="0"/>
          <w:szCs w:val="22"/>
        </w:rPr>
        <w:t xml:space="preserve"> years.</w:t>
      </w:r>
      <w:r w:rsidRPr="00756282">
        <w:rPr>
          <w:rFonts w:ascii="Times New Roman" w:hAnsi="Times New Roman" w:cs="Times New Roman"/>
          <w:b w:val="0"/>
          <w:szCs w:val="22"/>
        </w:rPr>
        <w:t xml:space="preserve"> The </w:t>
      </w:r>
      <w:r>
        <w:rPr>
          <w:rFonts w:ascii="Times New Roman" w:hAnsi="Times New Roman" w:cs="Times New Roman"/>
          <w:b w:val="0"/>
          <w:szCs w:val="22"/>
        </w:rPr>
        <w:t>entire New Zealand scampi fleet</w:t>
      </w:r>
      <w:r w:rsidRPr="00756282">
        <w:rPr>
          <w:rFonts w:ascii="Times New Roman" w:hAnsi="Times New Roman" w:cs="Times New Roman"/>
          <w:b w:val="0"/>
          <w:szCs w:val="22"/>
        </w:rPr>
        <w:t xml:space="preserve"> currently </w:t>
      </w:r>
      <w:r>
        <w:rPr>
          <w:rFonts w:ascii="Times New Roman" w:hAnsi="Times New Roman" w:cs="Times New Roman"/>
          <w:b w:val="0"/>
          <w:szCs w:val="22"/>
        </w:rPr>
        <w:t>comprises</w:t>
      </w:r>
      <w:r w:rsidRPr="00756282">
        <w:rPr>
          <w:rFonts w:ascii="Times New Roman" w:hAnsi="Times New Roman" w:cs="Times New Roman"/>
          <w:b w:val="0"/>
          <w:szCs w:val="22"/>
        </w:rPr>
        <w:t xml:space="preserve"> </w:t>
      </w:r>
      <w:r>
        <w:rPr>
          <w:rFonts w:ascii="Times New Roman" w:hAnsi="Times New Roman" w:cs="Times New Roman"/>
          <w:b w:val="0"/>
          <w:szCs w:val="22"/>
        </w:rPr>
        <w:t xml:space="preserve">nine vessels of </w:t>
      </w:r>
      <w:r w:rsidRPr="00756282">
        <w:rPr>
          <w:rFonts w:ascii="Times New Roman" w:hAnsi="Times New Roman" w:cs="Times New Roman"/>
          <w:b w:val="0"/>
          <w:szCs w:val="22"/>
        </w:rPr>
        <w:t>20-40</w:t>
      </w:r>
      <w:r>
        <w:rPr>
          <w:rFonts w:ascii="Times New Roman" w:hAnsi="Times New Roman" w:cs="Times New Roman"/>
          <w:b w:val="0"/>
          <w:szCs w:val="22"/>
        </w:rPr>
        <w:t xml:space="preserve"> </w:t>
      </w:r>
      <w:r w:rsidRPr="00756282">
        <w:rPr>
          <w:rFonts w:ascii="Times New Roman" w:hAnsi="Times New Roman" w:cs="Times New Roman"/>
          <w:b w:val="0"/>
          <w:szCs w:val="22"/>
        </w:rPr>
        <w:t>m in length. Vessels catch scampi by using a double or triple net configuration.</w:t>
      </w:r>
      <w:r w:rsidR="00C01AC3">
        <w:rPr>
          <w:rFonts w:ascii="Times New Roman" w:hAnsi="Times New Roman" w:cs="Times New Roman"/>
          <w:b w:val="0"/>
          <w:szCs w:val="22"/>
        </w:rPr>
        <w:t xml:space="preserve"> </w:t>
      </w:r>
    </w:p>
    <w:p w14:paraId="7E9C6074" w14:textId="390C5701" w:rsidR="00B653CB" w:rsidRPr="00756282" w:rsidRDefault="00B653CB" w:rsidP="00B653CB">
      <w:pPr>
        <w:pStyle w:val="FAPHeadingOne"/>
        <w:spacing w:after="240"/>
        <w:rPr>
          <w:rFonts w:ascii="Times New Roman" w:hAnsi="Times New Roman" w:cs="Times New Roman"/>
          <w:b w:val="0"/>
          <w:szCs w:val="22"/>
        </w:rPr>
      </w:pPr>
      <w:r w:rsidRPr="00756282">
        <w:rPr>
          <w:rFonts w:ascii="Times New Roman" w:hAnsi="Times New Roman" w:cs="Times New Roman"/>
          <w:b w:val="0"/>
          <w:szCs w:val="22"/>
        </w:rPr>
        <w:t xml:space="preserve">A competitive catch limit </w:t>
      </w:r>
      <w:r>
        <w:rPr>
          <w:rFonts w:ascii="Times New Roman" w:hAnsi="Times New Roman" w:cs="Times New Roman"/>
          <w:b w:val="0"/>
          <w:szCs w:val="22"/>
        </w:rPr>
        <w:t>(</w:t>
      </w:r>
      <w:r w:rsidRPr="00901FF8">
        <w:rPr>
          <w:rFonts w:ascii="Times New Roman" w:hAnsi="Times New Roman" w:cs="Times New Roman"/>
          <w:b w:val="0"/>
          <w:i/>
          <w:szCs w:val="22"/>
        </w:rPr>
        <w:t>i.e.</w:t>
      </w:r>
      <w:r w:rsidR="00901FF8" w:rsidRPr="00901FF8">
        <w:rPr>
          <w:rFonts w:ascii="Times New Roman" w:hAnsi="Times New Roman" w:cs="Times New Roman"/>
          <w:b w:val="0"/>
          <w:i/>
          <w:szCs w:val="22"/>
        </w:rPr>
        <w:t>,</w:t>
      </w:r>
      <w:r>
        <w:rPr>
          <w:rFonts w:ascii="Times New Roman" w:hAnsi="Times New Roman" w:cs="Times New Roman"/>
          <w:b w:val="0"/>
          <w:szCs w:val="22"/>
        </w:rPr>
        <w:t xml:space="preserve"> no individual allocations) </w:t>
      </w:r>
      <w:r w:rsidRPr="00756282">
        <w:rPr>
          <w:rFonts w:ascii="Times New Roman" w:hAnsi="Times New Roman" w:cs="Times New Roman"/>
          <w:b w:val="0"/>
          <w:szCs w:val="22"/>
        </w:rPr>
        <w:t>was set for SCI</w:t>
      </w:r>
      <w:r>
        <w:rPr>
          <w:rFonts w:ascii="Times New Roman" w:hAnsi="Times New Roman" w:cs="Times New Roman"/>
          <w:b w:val="0"/>
          <w:szCs w:val="22"/>
        </w:rPr>
        <w:t xml:space="preserve"> </w:t>
      </w:r>
      <w:r w:rsidRPr="00756282">
        <w:rPr>
          <w:rFonts w:ascii="Times New Roman" w:hAnsi="Times New Roman" w:cs="Times New Roman"/>
          <w:b w:val="0"/>
          <w:szCs w:val="22"/>
        </w:rPr>
        <w:t>2 in 1991</w:t>
      </w:r>
      <w:r>
        <w:rPr>
          <w:rFonts w:ascii="Times New Roman" w:hAnsi="Times New Roman" w:cs="Times New Roman"/>
          <w:b w:val="0"/>
          <w:szCs w:val="22"/>
        </w:rPr>
        <w:t>-</w:t>
      </w:r>
      <w:r w:rsidRPr="00756282">
        <w:rPr>
          <w:rFonts w:ascii="Times New Roman" w:hAnsi="Times New Roman" w:cs="Times New Roman"/>
          <w:b w:val="0"/>
          <w:szCs w:val="22"/>
        </w:rPr>
        <w:t>92 of 246 tonnes.</w:t>
      </w:r>
      <w:r>
        <w:rPr>
          <w:rFonts w:ascii="Times New Roman" w:hAnsi="Times New Roman" w:cs="Times New Roman"/>
          <w:b w:val="0"/>
          <w:szCs w:val="22"/>
        </w:rPr>
        <w:t xml:space="preserve"> </w:t>
      </w:r>
      <w:r w:rsidRPr="00756282">
        <w:rPr>
          <w:rFonts w:ascii="Times New Roman" w:hAnsi="Times New Roman" w:cs="Times New Roman"/>
          <w:b w:val="0"/>
          <w:szCs w:val="22"/>
        </w:rPr>
        <w:t>This was decreased to 200 tonnes when scampi was introduced into the quota management system (QMS) in 2004.</w:t>
      </w:r>
      <w:r>
        <w:rPr>
          <w:rFonts w:ascii="Times New Roman" w:hAnsi="Times New Roman" w:cs="Times New Roman"/>
          <w:b w:val="0"/>
          <w:szCs w:val="22"/>
        </w:rPr>
        <w:t xml:space="preserve"> </w:t>
      </w:r>
      <w:r w:rsidRPr="00756282">
        <w:rPr>
          <w:rFonts w:ascii="Times New Roman" w:hAnsi="Times New Roman" w:cs="Times New Roman"/>
          <w:b w:val="0"/>
          <w:szCs w:val="22"/>
        </w:rPr>
        <w:t>The TACC was further decreased in 2011</w:t>
      </w:r>
      <w:r>
        <w:rPr>
          <w:rFonts w:ascii="Times New Roman" w:hAnsi="Times New Roman" w:cs="Times New Roman"/>
          <w:b w:val="0"/>
          <w:szCs w:val="22"/>
        </w:rPr>
        <w:t>-</w:t>
      </w:r>
      <w:r w:rsidRPr="00756282">
        <w:rPr>
          <w:rFonts w:ascii="Times New Roman" w:hAnsi="Times New Roman" w:cs="Times New Roman"/>
          <w:b w:val="0"/>
          <w:szCs w:val="22"/>
        </w:rPr>
        <w:t>12 to 100 tonnes due to sustainability concerns</w:t>
      </w:r>
      <w:r w:rsidR="00693BCD">
        <w:rPr>
          <w:rFonts w:ascii="Times New Roman" w:hAnsi="Times New Roman" w:cs="Times New Roman"/>
          <w:b w:val="0"/>
          <w:szCs w:val="22"/>
        </w:rPr>
        <w:t xml:space="preserve"> based on the outputs of the stock assessment</w:t>
      </w:r>
      <w:r w:rsidR="00231F12">
        <w:rPr>
          <w:rFonts w:ascii="Times New Roman" w:hAnsi="Times New Roman" w:cs="Times New Roman"/>
          <w:b w:val="0"/>
          <w:szCs w:val="22"/>
        </w:rPr>
        <w:t xml:space="preserve"> at that time</w:t>
      </w:r>
      <w:r w:rsidR="00693BCD">
        <w:rPr>
          <w:rFonts w:ascii="Times New Roman" w:hAnsi="Times New Roman" w:cs="Times New Roman"/>
          <w:b w:val="0"/>
          <w:szCs w:val="22"/>
        </w:rPr>
        <w:t>.</w:t>
      </w:r>
    </w:p>
    <w:p w14:paraId="502D3BE6" w14:textId="77777777" w:rsidR="00B653CB" w:rsidRDefault="00B653CB" w:rsidP="00B653CB">
      <w:r>
        <w:rPr>
          <w:lang w:val="en-GB"/>
        </w:rPr>
        <w:t>D</w:t>
      </w:r>
      <w:r w:rsidRPr="00756282">
        <w:rPr>
          <w:lang w:val="en-GB"/>
        </w:rPr>
        <w:t>uring the early 1990s</w:t>
      </w:r>
      <w:r>
        <w:rPr>
          <w:lang w:val="en-GB"/>
        </w:rPr>
        <w:t>, landings were</w:t>
      </w:r>
      <w:r>
        <w:t xml:space="preserve"> stable </w:t>
      </w:r>
      <w:r w:rsidRPr="00756282">
        <w:t xml:space="preserve">and </w:t>
      </w:r>
      <w:r>
        <w:t>catch per unit of effort (</w:t>
      </w:r>
      <w:r w:rsidRPr="00756282">
        <w:t>CPUE</w:t>
      </w:r>
      <w:r w:rsidRPr="001A1BAC">
        <w:t xml:space="preserve">) </w:t>
      </w:r>
      <w:r>
        <w:t xml:space="preserve">trended upward; however, </w:t>
      </w:r>
      <w:r>
        <w:rPr>
          <w:lang w:val="en-GB"/>
        </w:rPr>
        <w:t xml:space="preserve">both </w:t>
      </w:r>
      <w:r w:rsidRPr="00756282">
        <w:rPr>
          <w:lang w:val="en-GB"/>
        </w:rPr>
        <w:t>declined steadily after</w:t>
      </w:r>
      <w:r>
        <w:rPr>
          <w:lang w:val="en-GB"/>
        </w:rPr>
        <w:t xml:space="preserve"> 1998-99 </w:t>
      </w:r>
      <w:r w:rsidRPr="00756282">
        <w:rPr>
          <w:lang w:val="en-GB"/>
        </w:rPr>
        <w:t>until the early 2000s</w:t>
      </w:r>
      <w:r w:rsidRPr="00B87F6C">
        <w:t xml:space="preserve"> </w:t>
      </w:r>
      <w:r w:rsidRPr="00756282">
        <w:t>(Fig</w:t>
      </w:r>
      <w:r>
        <w:t>ures</w:t>
      </w:r>
      <w:r w:rsidRPr="00756282">
        <w:t xml:space="preserve"> 2 and 3)</w:t>
      </w:r>
      <w:r>
        <w:t xml:space="preserve">. CPUE has increased steadily since the early 2000’s, with 2013-14 comparable to records from the mid-1990s. A slight decline has been observed in 2014-15. Landings exceeded the TACC in 2014-15, however this was due to the carry forward of under caught ACE from the previous year as permitted under </w:t>
      </w:r>
      <w:r w:rsidR="00F650E5">
        <w:t>s</w:t>
      </w:r>
      <w:r>
        <w:t xml:space="preserve">ection 67A of the Act. </w:t>
      </w:r>
    </w:p>
    <w:p w14:paraId="725FC6D6" w14:textId="77777777" w:rsidR="00B653CB" w:rsidRDefault="00B653CB" w:rsidP="00B653CB"/>
    <w:p w14:paraId="5F5BE93D" w14:textId="259E74C7" w:rsidR="00B653CB" w:rsidRDefault="0006183E" w:rsidP="00B653CB">
      <w:r>
        <w:rPr>
          <w:noProof/>
          <w:lang w:eastAsia="en-NZ"/>
        </w:rPr>
        <w:lastRenderedPageBreak/>
        <w:drawing>
          <wp:inline distT="0" distB="0" distL="0" distR="0" wp14:anchorId="6EE6C5F4" wp14:editId="1FFB6AA5">
            <wp:extent cx="6063827" cy="287079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9149" cy="2873311"/>
                    </a:xfrm>
                    <a:prstGeom prst="rect">
                      <a:avLst/>
                    </a:prstGeom>
                  </pic:spPr>
                </pic:pic>
              </a:graphicData>
            </a:graphic>
          </wp:inline>
        </w:drawing>
      </w:r>
    </w:p>
    <w:p w14:paraId="640FBFC5" w14:textId="77777777" w:rsidR="00B653CB" w:rsidRDefault="00B653CB" w:rsidP="00B653CB">
      <w:pPr>
        <w:rPr>
          <w:rFonts w:ascii="Arial Narrow" w:hAnsi="Arial Narrow"/>
          <w:b/>
        </w:rPr>
      </w:pPr>
      <w:r>
        <w:rPr>
          <w:rFonts w:ascii="Arial Narrow" w:hAnsi="Arial Narrow"/>
          <w:b/>
        </w:rPr>
        <w:t>Figure 2: Annual landings and TACC for SCI 2 between 1986-87 and 2014-15</w:t>
      </w:r>
    </w:p>
    <w:p w14:paraId="4B3CD703" w14:textId="77777777" w:rsidR="00B653CB" w:rsidRDefault="00B653CB" w:rsidP="00B653CB">
      <w:pPr>
        <w:jc w:val="center"/>
      </w:pPr>
      <w:r w:rsidRPr="00BA4BCB">
        <w:rPr>
          <w:noProof/>
          <w:lang w:eastAsia="en-NZ"/>
        </w:rPr>
        <w:drawing>
          <wp:inline distT="0" distB="0" distL="0" distR="0" wp14:anchorId="6B5FFE23" wp14:editId="5CA56AC4">
            <wp:extent cx="3619500" cy="3619500"/>
            <wp:effectExtent l="0" t="0" r="0" b="0"/>
            <wp:docPr id="7" name="Picture 7" descr="CPU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UE ind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78115DE3" w14:textId="77777777" w:rsidR="00B653CB" w:rsidRDefault="00B653CB" w:rsidP="00B653CB">
      <w:pPr>
        <w:pStyle w:val="TableMainTitle"/>
        <w:keepNext/>
      </w:pPr>
      <w:r w:rsidRPr="000F39B9">
        <w:t xml:space="preserve">Figure 3: </w:t>
      </w:r>
      <w:r>
        <w:t>St</w:t>
      </w:r>
      <w:r w:rsidRPr="000F39B9">
        <w:t xml:space="preserve">andardised catch per unit effort (CPUE) for SCI2 from </w:t>
      </w:r>
      <w:r>
        <w:t>fishing year 1990/91 to the 2014/15 fishing year. B</w:t>
      </w:r>
      <w:r w:rsidRPr="000F39B9">
        <w:t xml:space="preserve">ars represent 95% confidence intervals and the </w:t>
      </w:r>
      <w:r>
        <w:t>middle</w:t>
      </w:r>
      <w:r w:rsidRPr="000F39B9">
        <w:t xml:space="preserve"> </w:t>
      </w:r>
      <w:r>
        <w:t>dot</w:t>
      </w:r>
      <w:r w:rsidRPr="000F39B9">
        <w:t xml:space="preserve"> indicates the median CPUE</w:t>
      </w:r>
    </w:p>
    <w:p w14:paraId="4D4BB876" w14:textId="77777777" w:rsidR="00B653CB" w:rsidRPr="0090091E" w:rsidRDefault="00B653CB" w:rsidP="00B653CB"/>
    <w:p w14:paraId="6CF06F64" w14:textId="77777777" w:rsidR="00471C3D" w:rsidRPr="00076AC3" w:rsidRDefault="000308AC" w:rsidP="00471C3D">
      <w:pPr>
        <w:pStyle w:val="Heading2"/>
      </w:pPr>
      <w:bookmarkStart w:id="26" w:name="_Toc453059203"/>
      <w:r>
        <w:t>Previous r</w:t>
      </w:r>
      <w:r w:rsidR="00471C3D" w:rsidRPr="00076AC3">
        <w:t>eview</w:t>
      </w:r>
      <w:bookmarkEnd w:id="25"/>
      <w:bookmarkEnd w:id="26"/>
      <w:r w:rsidR="00471C3D" w:rsidRPr="00076AC3">
        <w:t xml:space="preserve"> </w:t>
      </w:r>
    </w:p>
    <w:p w14:paraId="5EEE3814" w14:textId="77777777" w:rsidR="00B653CB" w:rsidRDefault="00B653CB" w:rsidP="00B653CB">
      <w:bookmarkStart w:id="27" w:name="_Toc399138988"/>
      <w:r w:rsidRPr="007F3656">
        <w:t xml:space="preserve">An update of the SCI 2 stock assessment was finalised and accepted </w:t>
      </w:r>
      <w:r>
        <w:t xml:space="preserve">in </w:t>
      </w:r>
      <w:r w:rsidRPr="007F3656">
        <w:t>2013</w:t>
      </w:r>
      <w:r>
        <w:t>. The stock assessment estimated biomass to be 74% B</w:t>
      </w:r>
      <w:r w:rsidRPr="009F5B63">
        <w:rPr>
          <w:vertAlign w:val="subscript"/>
        </w:rPr>
        <w:t>0</w:t>
      </w:r>
      <w:r>
        <w:t xml:space="preserve"> and </w:t>
      </w:r>
      <w:r w:rsidRPr="007F3656">
        <w:t xml:space="preserve">very likely (&gt;90% probability) to be at or above the </w:t>
      </w:r>
      <w:r>
        <w:t xml:space="preserve">default </w:t>
      </w:r>
      <w:r w:rsidRPr="007F3656">
        <w:t>target of 40% B</w:t>
      </w:r>
      <w:r w:rsidRPr="007F3656">
        <w:rPr>
          <w:vertAlign w:val="subscript"/>
        </w:rPr>
        <w:t>0</w:t>
      </w:r>
      <w:r w:rsidRPr="007F3656">
        <w:t>.</w:t>
      </w:r>
      <w:r>
        <w:t xml:space="preserve"> The TAC was increased to 140 tonnes with a TACC of 133 tonnes.</w:t>
      </w:r>
    </w:p>
    <w:p w14:paraId="73EA2EB4" w14:textId="77777777" w:rsidR="00B653CB" w:rsidRDefault="00B653CB" w:rsidP="00B653CB"/>
    <w:p w14:paraId="7A0EAE9E" w14:textId="77777777" w:rsidR="00471C3D" w:rsidRPr="00FF5B17" w:rsidRDefault="000308AC" w:rsidP="00471C3D">
      <w:pPr>
        <w:pStyle w:val="Heading2"/>
      </w:pPr>
      <w:bookmarkStart w:id="28" w:name="_Toc453059204"/>
      <w:r>
        <w:lastRenderedPageBreak/>
        <w:t>New i</w:t>
      </w:r>
      <w:r w:rsidR="00471C3D" w:rsidRPr="00FF5B17">
        <w:t>nformation</w:t>
      </w:r>
      <w:bookmarkEnd w:id="27"/>
      <w:bookmarkEnd w:id="28"/>
      <w:r w:rsidR="00471C3D" w:rsidRPr="00FF5B17">
        <w:t xml:space="preserve"> </w:t>
      </w:r>
    </w:p>
    <w:p w14:paraId="204DCDB9" w14:textId="77777777" w:rsidR="00B653CB" w:rsidRDefault="00B653CB" w:rsidP="00B653CB">
      <w:pPr>
        <w:pStyle w:val="ListParagraph"/>
        <w:ind w:left="0"/>
      </w:pPr>
      <w:r w:rsidRPr="007F3656">
        <w:t xml:space="preserve">An update of the SCI 2 stock assessment </w:t>
      </w:r>
      <w:r>
        <w:t xml:space="preserve">was presented to </w:t>
      </w:r>
      <w:r w:rsidRPr="007F3656">
        <w:t xml:space="preserve">the Shellfish Working Group </w:t>
      </w:r>
      <w:r>
        <w:t xml:space="preserve">(SFWG) </w:t>
      </w:r>
      <w:r w:rsidRPr="007F3656">
        <w:t xml:space="preserve">and Plenary </w:t>
      </w:r>
      <w:r>
        <w:t>in 2016</w:t>
      </w:r>
      <w:r w:rsidRPr="007F3656">
        <w:t>.</w:t>
      </w:r>
      <w:r>
        <w:t xml:space="preserve"> The model structure was the same as 2013, however the assessment incorporated new estimates of catchability as well as updated trawl and photo abundance indices from the 2015 research survey. The updated trawl and photo indices suggested a continued increase in abundance since 2006 and follow a similar trend to that observed in the CPUE.  Several different models were presented to the SFWG, investigating different assumptions on natural mortality (M), as well as a combined area model incorporating data from SCI 1. </w:t>
      </w:r>
    </w:p>
    <w:p w14:paraId="63DA0274" w14:textId="77777777" w:rsidR="00B653CB" w:rsidRDefault="00B653CB" w:rsidP="00B653CB">
      <w:pPr>
        <w:pStyle w:val="ListParagraph"/>
        <w:ind w:left="0"/>
      </w:pPr>
    </w:p>
    <w:p w14:paraId="3D9D0A96" w14:textId="27E422D6" w:rsidR="00B653CB" w:rsidRDefault="00B653CB" w:rsidP="00B653CB">
      <w:pPr>
        <w:pStyle w:val="ListParagraph"/>
        <w:ind w:left="0"/>
      </w:pPr>
      <w:r w:rsidRPr="001A1BAC">
        <w:t>The base case</w:t>
      </w:r>
      <w:r>
        <w:t xml:space="preserve"> model accepted by both the SFWG and the Plenary was a single area model with M fixed at 0.3. The model estimated</w:t>
      </w:r>
      <w:r w:rsidRPr="007F3656">
        <w:t xml:space="preserve"> </w:t>
      </w:r>
      <w:r>
        <w:t>that the current (2015</w:t>
      </w:r>
      <w:r w:rsidRPr="007F3656">
        <w:t>) SCI</w:t>
      </w:r>
      <w:r>
        <w:t xml:space="preserve"> </w:t>
      </w:r>
      <w:r w:rsidRPr="007F3656">
        <w:t>2 biomass</w:t>
      </w:r>
      <w:r>
        <w:t xml:space="preserve"> at 101% B</w:t>
      </w:r>
      <w:r w:rsidRPr="009F5B63">
        <w:rPr>
          <w:vertAlign w:val="subscript"/>
        </w:rPr>
        <w:t>0</w:t>
      </w:r>
      <w:r>
        <w:rPr>
          <w:vertAlign w:val="subscript"/>
        </w:rPr>
        <w:t xml:space="preserve">, </w:t>
      </w:r>
      <w:r>
        <w:t>indicating that current biomass</w:t>
      </w:r>
      <w:r w:rsidR="008D1C2D">
        <w:t xml:space="preserve"> has returned to a level that</w:t>
      </w:r>
      <w:r>
        <w:t xml:space="preserve"> is very close to</w:t>
      </w:r>
      <w:r w:rsidR="00710B61">
        <w:t xml:space="preserve"> the unfished biomass</w:t>
      </w:r>
      <w:r>
        <w:rPr>
          <w:vertAlign w:val="subscript"/>
        </w:rPr>
        <w:t xml:space="preserve">. </w:t>
      </w:r>
      <w:r>
        <w:t>However, stock trajectory outputs have shown that biomass increased up until 2014, and has declined slightly in 2015. Two additional model runs were presented as sensitivities investigating M fixed at 0.25 and 0.35. Model outputs from the sensitivity runs were consistent with the improvement in stock status outputs of the base case. A recent increase in recruitment is likely to be driving the increase in biomass. Calculations of fishing mortality (F) indicate that overfishing within SCI 2 is exceptionally unlikely to be occurring (Figure 4).</w:t>
      </w:r>
    </w:p>
    <w:p w14:paraId="4CABEC4A" w14:textId="77777777" w:rsidR="00B653CB" w:rsidRDefault="00B653CB" w:rsidP="00B653CB">
      <w:pPr>
        <w:pStyle w:val="ListParagraph"/>
        <w:ind w:left="0"/>
      </w:pPr>
    </w:p>
    <w:p w14:paraId="7A94BDE1" w14:textId="77777777" w:rsidR="00B653CB" w:rsidRDefault="00B653CB" w:rsidP="00B653CB">
      <w:pPr>
        <w:pStyle w:val="ListParagraph"/>
        <w:ind w:left="0"/>
      </w:pPr>
      <w:r w:rsidRPr="00DB4CDE">
        <w:t xml:space="preserve">The major sources of uncertainty with this year’s assessment </w:t>
      </w:r>
      <w:r>
        <w:t>(</w:t>
      </w:r>
      <w:r w:rsidRPr="00DB4CDE">
        <w:t xml:space="preserve">similar to </w:t>
      </w:r>
      <w:r>
        <w:t>those</w:t>
      </w:r>
      <w:r w:rsidRPr="00DB4CDE">
        <w:t xml:space="preserve"> of previous assessments</w:t>
      </w:r>
      <w:r>
        <w:t>) are the lack of</w:t>
      </w:r>
      <w:r w:rsidRPr="00DB4CDE">
        <w:t xml:space="preserve"> information on the growth rate of scampi, the catchability of scampi,</w:t>
      </w:r>
      <w:r>
        <w:t xml:space="preserve"> natural mortality,</w:t>
      </w:r>
      <w:r w:rsidRPr="00DB4CDE">
        <w:t xml:space="preserve"> and how many scampi occupy one burrow.</w:t>
      </w:r>
      <w:r>
        <w:t xml:space="preserve"> Research undertaken since the previous assessment in 2013 has addressed some uncertainties concerning emergence patterns and catchability and has been incorporated into the latest assessment. </w:t>
      </w:r>
    </w:p>
    <w:p w14:paraId="37454944" w14:textId="77777777" w:rsidR="00B653CB" w:rsidRDefault="00B653CB" w:rsidP="00B653CB">
      <w:pPr>
        <w:pStyle w:val="ListParagraph"/>
        <w:ind w:left="0"/>
      </w:pPr>
    </w:p>
    <w:p w14:paraId="78187829" w14:textId="77777777" w:rsidR="00B653CB" w:rsidRDefault="00B653CB" w:rsidP="00B653CB">
      <w:pPr>
        <w:pStyle w:val="ListParagraph"/>
        <w:ind w:left="0"/>
        <w:jc w:val="center"/>
      </w:pPr>
      <w:r w:rsidRPr="00D75392">
        <w:rPr>
          <w:noProof/>
          <w:lang w:eastAsia="en-NZ"/>
        </w:rPr>
        <w:drawing>
          <wp:inline distT="0" distB="0" distL="0" distR="0" wp14:anchorId="50FDCA54" wp14:editId="3347CC49">
            <wp:extent cx="3551274" cy="3551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4634" cy="3554634"/>
                    </a:xfrm>
                    <a:prstGeom prst="rect">
                      <a:avLst/>
                    </a:prstGeom>
                    <a:noFill/>
                    <a:ln>
                      <a:noFill/>
                    </a:ln>
                  </pic:spPr>
                </pic:pic>
              </a:graphicData>
            </a:graphic>
          </wp:inline>
        </w:drawing>
      </w:r>
    </w:p>
    <w:p w14:paraId="5DC6C184" w14:textId="77777777" w:rsidR="00B653CB" w:rsidRPr="004F4500" w:rsidRDefault="00B653CB" w:rsidP="00B653CB">
      <w:pPr>
        <w:spacing w:before="120" w:after="40"/>
        <w:rPr>
          <w:rFonts w:ascii="Arial Narrow" w:hAnsi="Arial Narrow"/>
          <w:b/>
        </w:rPr>
      </w:pPr>
      <w:r w:rsidRPr="004F4500">
        <w:rPr>
          <w:rFonts w:ascii="Arial Narrow" w:hAnsi="Arial Narrow"/>
          <w:b/>
        </w:rPr>
        <w:t>Figure 4: The proportion of initial scampi biomass (B</w:t>
      </w:r>
      <w:r w:rsidRPr="004F4500">
        <w:rPr>
          <w:rFonts w:ascii="Arial Narrow" w:hAnsi="Arial Narrow"/>
          <w:b/>
          <w:vertAlign w:val="subscript"/>
        </w:rPr>
        <w:t>0</w:t>
      </w:r>
      <w:r w:rsidRPr="004F4500">
        <w:rPr>
          <w:rFonts w:ascii="Arial Narrow" w:hAnsi="Arial Narrow"/>
          <w:b/>
        </w:rPr>
        <w:t>) in SCI 2 in relation to mortality caused by annual fishing intensity. The management target (40% B</w:t>
      </w:r>
      <w:r w:rsidRPr="004F4500">
        <w:rPr>
          <w:rFonts w:ascii="Arial Narrow" w:hAnsi="Arial Narrow"/>
          <w:b/>
          <w:vertAlign w:val="subscript"/>
        </w:rPr>
        <w:t>0</w:t>
      </w:r>
      <w:r w:rsidRPr="004F4500">
        <w:rPr>
          <w:rFonts w:ascii="Arial Narrow" w:hAnsi="Arial Narrow"/>
          <w:b/>
        </w:rPr>
        <w:t>), soft limit (20% B</w:t>
      </w:r>
      <w:r w:rsidRPr="004F4500">
        <w:rPr>
          <w:rFonts w:ascii="Arial Narrow" w:hAnsi="Arial Narrow"/>
          <w:b/>
          <w:vertAlign w:val="subscript"/>
        </w:rPr>
        <w:t>0</w:t>
      </w:r>
      <w:r w:rsidRPr="004F4500">
        <w:rPr>
          <w:rFonts w:ascii="Arial Narrow" w:hAnsi="Arial Narrow"/>
          <w:b/>
        </w:rPr>
        <w:t>), and hard limit (10% B</w:t>
      </w:r>
      <w:r w:rsidRPr="001A1BAC">
        <w:rPr>
          <w:rFonts w:ascii="Arial Narrow" w:hAnsi="Arial Narrow"/>
          <w:b/>
          <w:vertAlign w:val="subscript"/>
        </w:rPr>
        <w:t>0)</w:t>
      </w:r>
      <w:r w:rsidRPr="004F4500">
        <w:rPr>
          <w:rFonts w:ascii="Arial Narrow" w:hAnsi="Arial Narrow"/>
          <w:b/>
        </w:rPr>
        <w:t xml:space="preserve"> are indicated by dotted vertical lines. The horizontal line indicates the level of fishing mortality that would result in the stock biomass fluctuating at the management target. </w:t>
      </w:r>
    </w:p>
    <w:p w14:paraId="2CFAD246" w14:textId="77777777" w:rsidR="00267E51" w:rsidRPr="00044375" w:rsidRDefault="00267E51" w:rsidP="00471C3D"/>
    <w:p w14:paraId="2D61A1CB" w14:textId="77777777" w:rsidR="00471C3D" w:rsidRDefault="00471C3D" w:rsidP="00471C3D">
      <w:pPr>
        <w:pStyle w:val="Heading1"/>
      </w:pPr>
      <w:bookmarkStart w:id="29" w:name="_Toc399138989"/>
      <w:bookmarkStart w:id="30" w:name="_Toc453059205"/>
      <w:r>
        <w:lastRenderedPageBreak/>
        <w:t>Legal Considerations</w:t>
      </w:r>
      <w:bookmarkEnd w:id="29"/>
      <w:bookmarkEnd w:id="30"/>
    </w:p>
    <w:p w14:paraId="1588C4D6" w14:textId="77777777" w:rsidR="00471C3D" w:rsidRPr="00B222CF" w:rsidRDefault="001D20CB" w:rsidP="00471C3D">
      <w:pPr>
        <w:pStyle w:val="Heading2"/>
      </w:pPr>
      <w:bookmarkStart w:id="31" w:name="_Toc453059206"/>
      <w:bookmarkStart w:id="32" w:name="_Toc399138990"/>
      <w:r>
        <w:t>S</w:t>
      </w:r>
      <w:r w:rsidR="00B222CF" w:rsidRPr="00B222CF">
        <w:t xml:space="preserve">etting </w:t>
      </w:r>
      <w:r w:rsidR="000308AC">
        <w:t>management m</w:t>
      </w:r>
      <w:r w:rsidR="00471C3D" w:rsidRPr="00B222CF">
        <w:t>easures</w:t>
      </w:r>
      <w:bookmarkEnd w:id="31"/>
      <w:r w:rsidR="00471C3D" w:rsidRPr="00B222CF">
        <w:t xml:space="preserve"> </w:t>
      </w:r>
      <w:bookmarkEnd w:id="32"/>
    </w:p>
    <w:p w14:paraId="3AF40249" w14:textId="77777777" w:rsidR="00A75428" w:rsidRDefault="00A75428" w:rsidP="00A75428">
      <w:bookmarkStart w:id="33" w:name="_Toc399138991"/>
      <w:r>
        <w:t xml:space="preserve">Scampi stocks are managed under section 13(2) of the Act. This section requires the Minister to set a TAC that maintains the stock at or above a level that can produce the maximum sustainable yield (MSY), or if the stock is above or below that level, to move towards or above the level that can produce MSY. </w:t>
      </w:r>
    </w:p>
    <w:p w14:paraId="3E087B5E" w14:textId="77777777" w:rsidR="00A75428" w:rsidRDefault="00A75428" w:rsidP="00A75428"/>
    <w:p w14:paraId="66719E9C" w14:textId="77777777" w:rsidR="00A75428" w:rsidRDefault="00A75428" w:rsidP="00A75428">
      <w:r w:rsidRPr="009E4C10">
        <w:t>Under section 13(3) of the Act, relevant social, cultural and economic considerations must be considered by the Minister in determining an appropriate way and rate to move the stock towards or above a level that can produce the MSY.</w:t>
      </w:r>
    </w:p>
    <w:p w14:paraId="2FDEC23B" w14:textId="77777777" w:rsidR="00A75428" w:rsidRDefault="00A75428" w:rsidP="00A75428"/>
    <w:p w14:paraId="0FCE1911" w14:textId="77777777" w:rsidR="00A75428" w:rsidRDefault="00A75428" w:rsidP="00A75428">
      <w:r>
        <w:t>The TAC must be apportioned between the relevant sectors and interests set out under the provisions of section 21 of the Act. Section 21 requires the Minister to allow for Maori customary non-commercial interests, recreational fishing interests, and for any other sources of fishing-related mortality, when setting or varying the TACC.</w:t>
      </w:r>
    </w:p>
    <w:p w14:paraId="70A46D86" w14:textId="77777777" w:rsidR="00A75428" w:rsidRDefault="00A75428" w:rsidP="00A75428"/>
    <w:p w14:paraId="6F0AB167" w14:textId="77777777" w:rsidR="00DC1EE4" w:rsidRDefault="00DC1EE4" w:rsidP="00A75428">
      <w:r w:rsidRPr="00DC1EE4">
        <w:t>Sections 9(a) and (b) of the Act also require the Minister to take into account that associated or dependent species be maintained at or above a level that ensures their long-term viability, and that the biological diversity of the aquatic environment should be maintained.</w:t>
      </w:r>
    </w:p>
    <w:p w14:paraId="0844A2D9" w14:textId="77777777" w:rsidR="00DC1EE4" w:rsidRDefault="00DC1EE4" w:rsidP="00A75428"/>
    <w:p w14:paraId="4C281DFF" w14:textId="25717005" w:rsidR="00FE3177" w:rsidRDefault="00FE3177" w:rsidP="00A75428">
      <w:r w:rsidRPr="00FE3177">
        <w:t>Section 12(1)(b) of the Act requires that the Minister provide for the input and participation of tangata whenua and have particular regard to kaitiakitanga before setting or varying a TAC.</w:t>
      </w:r>
      <w:r w:rsidR="00E90476">
        <w:t xml:space="preserve"> MPI will provide relevant Fisheries Forums opportunity for engagement on the proposed options.</w:t>
      </w:r>
    </w:p>
    <w:p w14:paraId="3A139E32" w14:textId="77777777" w:rsidR="00FE3177" w:rsidRDefault="00FE3177" w:rsidP="00A75428"/>
    <w:p w14:paraId="1DA8C6D9" w14:textId="77777777" w:rsidR="00A75428" w:rsidRDefault="00A75428" w:rsidP="00A75428">
      <w:pPr>
        <w:pStyle w:val="ListParagraph"/>
        <w:spacing w:after="240"/>
        <w:ind w:left="0"/>
      </w:pPr>
      <w:r w:rsidRPr="009F5B63">
        <w:t>There is no known customary Maori or recreational take of scampi and it is proposed to retain zero allowances for these sectors.</w:t>
      </w:r>
      <w:r>
        <w:t xml:space="preserve"> MPI </w:t>
      </w:r>
      <w:r w:rsidRPr="009F5B63">
        <w:t>proposes to maintain the allocation for o</w:t>
      </w:r>
      <w:r>
        <w:t>ther sources of fishing related-</w:t>
      </w:r>
      <w:r w:rsidRPr="009F5B63">
        <w:t xml:space="preserve">mortality at 5% of the </w:t>
      </w:r>
      <w:r>
        <w:t xml:space="preserve">TACC. This nominal allowance accounts for unreported scampi mortality, such as loss due to ripped nets, or discarding of damaged scampi. </w:t>
      </w:r>
    </w:p>
    <w:p w14:paraId="6EE12EC6" w14:textId="77777777" w:rsidR="00DD150E" w:rsidRDefault="00DD150E" w:rsidP="00A75428">
      <w:pPr>
        <w:pStyle w:val="ListParagraph"/>
        <w:spacing w:after="240"/>
        <w:ind w:left="0"/>
      </w:pPr>
    </w:p>
    <w:p w14:paraId="4FCC47C2" w14:textId="77777777" w:rsidR="00471C3D" w:rsidRPr="00F0105B" w:rsidRDefault="00AF2979" w:rsidP="00471C3D">
      <w:pPr>
        <w:pStyle w:val="Heading2"/>
      </w:pPr>
      <w:bookmarkStart w:id="34" w:name="_Toc453059207"/>
      <w:r>
        <w:t>Key</w:t>
      </w:r>
      <w:r w:rsidR="000308AC">
        <w:t xml:space="preserve"> c</w:t>
      </w:r>
      <w:r w:rsidR="00471C3D" w:rsidRPr="00F0105B">
        <w:t>onsiderations</w:t>
      </w:r>
      <w:bookmarkEnd w:id="33"/>
      <w:bookmarkEnd w:id="34"/>
    </w:p>
    <w:p w14:paraId="224FF9EE" w14:textId="7619261C" w:rsidR="00566F09" w:rsidRDefault="00DD150E" w:rsidP="00F0105B">
      <w:r w:rsidRPr="00E26D4E">
        <w:t>When making a decision concerning the TAC for a stock, the Minister must have regard to</w:t>
      </w:r>
      <w:r>
        <w:t xml:space="preserve"> the</w:t>
      </w:r>
      <w:r w:rsidRPr="00E26D4E">
        <w:t xml:space="preserve"> interdependence of stocks</w:t>
      </w:r>
      <w:r w:rsidR="000324E4">
        <w:t>, the biological characteristics (discussed above)</w:t>
      </w:r>
      <w:r>
        <w:t xml:space="preserve"> and any environmental interactions. </w:t>
      </w:r>
      <w:r w:rsidR="001C4C2F">
        <w:t>The key</w:t>
      </w:r>
      <w:r>
        <w:t xml:space="preserve"> environmental issues</w:t>
      </w:r>
      <w:r w:rsidR="001C4C2F">
        <w:t xml:space="preserve"> and interdependent stocks</w:t>
      </w:r>
      <w:r>
        <w:t xml:space="preserve"> associated with the SCI 2 fishery </w:t>
      </w:r>
      <w:r w:rsidR="001C4C2F">
        <w:t xml:space="preserve">are discussed below with reference to the likely impacts of the proposed management options.  </w:t>
      </w:r>
    </w:p>
    <w:p w14:paraId="7133D8EE" w14:textId="77777777" w:rsidR="00DD150E" w:rsidRDefault="00DD150E" w:rsidP="00DD150E">
      <w:pPr>
        <w:pStyle w:val="Heading3"/>
      </w:pPr>
      <w:bookmarkStart w:id="35" w:name="_Toc453059208"/>
      <w:r w:rsidRPr="00676904">
        <w:t>Interdependence of stocks</w:t>
      </w:r>
      <w:bookmarkEnd w:id="35"/>
    </w:p>
    <w:p w14:paraId="6D160883" w14:textId="0A4A7627" w:rsidR="00DD150E" w:rsidRDefault="00DD150E" w:rsidP="00DD150E">
      <w:pPr>
        <w:pStyle w:val="ListParagraph"/>
        <w:ind w:left="0"/>
      </w:pPr>
      <w:r w:rsidRPr="00AA3B85">
        <w:t xml:space="preserve">The scampi fishery has a high level of bycatch, with scampi making up around </w:t>
      </w:r>
      <w:r w:rsidR="00252252" w:rsidRPr="00AA3B85">
        <w:t>1</w:t>
      </w:r>
      <w:r w:rsidR="00553353" w:rsidRPr="006F4779">
        <w:t>9</w:t>
      </w:r>
      <w:r w:rsidRPr="00AA3B85">
        <w:t>% of</w:t>
      </w:r>
      <w:r w:rsidR="00B5096E">
        <w:t xml:space="preserve"> the total</w:t>
      </w:r>
      <w:r w:rsidRPr="00AA3B85">
        <w:t xml:space="preserve"> catch in all observed scampi target tows </w:t>
      </w:r>
      <w:r w:rsidR="00553353" w:rsidRPr="006F4779">
        <w:t xml:space="preserve">since </w:t>
      </w:r>
      <w:r w:rsidR="00B5096E" w:rsidRPr="006F4779">
        <w:t>1 October 2005</w:t>
      </w:r>
      <w:r w:rsidRPr="00AA3B85">
        <w:t>. Based</w:t>
      </w:r>
      <w:r>
        <w:t xml:space="preserve"> on data recorded by MPI observers, t</w:t>
      </w:r>
      <w:r w:rsidRPr="009F5B63">
        <w:t>he main bycatch species or spe</w:t>
      </w:r>
      <w:r>
        <w:t>cies groups were javelinfish (</w:t>
      </w:r>
      <w:r w:rsidR="00B5096E">
        <w:t>20</w:t>
      </w:r>
      <w:r>
        <w:t>%), other rattails (</w:t>
      </w:r>
      <w:r w:rsidR="00B5096E">
        <w:t>7</w:t>
      </w:r>
      <w:r>
        <w:t>%), and sea perch (</w:t>
      </w:r>
      <w:r w:rsidR="00B5096E">
        <w:t>10</w:t>
      </w:r>
      <w:r w:rsidRPr="00AA3B85">
        <w:t xml:space="preserve">%). </w:t>
      </w:r>
      <w:r w:rsidR="001417D7" w:rsidRPr="00A316C1">
        <w:t>The t</w:t>
      </w:r>
      <w:r w:rsidR="00C1661A" w:rsidRPr="006F4779">
        <w:t>otal a</w:t>
      </w:r>
      <w:r w:rsidR="008E56EB" w:rsidRPr="00AA3B85">
        <w:t xml:space="preserve">nnual </w:t>
      </w:r>
      <w:r w:rsidR="002A5D2B" w:rsidRPr="006F4779">
        <w:t xml:space="preserve">volume of </w:t>
      </w:r>
      <w:r w:rsidR="008E56EB" w:rsidRPr="00AA3B85">
        <w:t>bycatch is variable</w:t>
      </w:r>
      <w:r w:rsidR="001417D7">
        <w:t>,</w:t>
      </w:r>
      <w:r w:rsidR="008E56EB" w:rsidRPr="00AA3B85">
        <w:t xml:space="preserve"> but has showed a significant decline </w:t>
      </w:r>
      <w:r w:rsidR="00C1661A" w:rsidRPr="006F4779">
        <w:t>since 1990-91</w:t>
      </w:r>
      <w:r w:rsidR="008E56EB" w:rsidRPr="00AA3B85">
        <w:t>, driven mainly by a decline in the bycatch of QMS species. This decline may be partly due to modifications to the top of the trawl to reduce fish bycatch</w:t>
      </w:r>
      <w:r w:rsidR="00C1661A" w:rsidRPr="00A41D62">
        <w:t>,</w:t>
      </w:r>
      <w:r w:rsidR="00C1661A">
        <w:t xml:space="preserve"> </w:t>
      </w:r>
      <w:r w:rsidR="008E56EB">
        <w:t xml:space="preserve">introduced across the fleet after 2002-03. </w:t>
      </w:r>
      <w:r w:rsidR="00FA6628">
        <w:t xml:space="preserve">Bycatch species managed under the QMS comprise about half of total scampi bycatch. </w:t>
      </w:r>
      <w:r w:rsidR="00FA6628" w:rsidRPr="00FA6628">
        <w:t>If any non-QMS bycatch species are identified</w:t>
      </w:r>
      <w:r w:rsidR="00956756">
        <w:t xml:space="preserve"> </w:t>
      </w:r>
      <w:r w:rsidR="00FA6628" w:rsidRPr="00FA6628">
        <w:t xml:space="preserve">through </w:t>
      </w:r>
      <w:r w:rsidR="00956756">
        <w:t>the</w:t>
      </w:r>
      <w:r w:rsidR="00FA6628" w:rsidRPr="00FA6628">
        <w:t xml:space="preserve"> regular monitoring process as requiring additional management</w:t>
      </w:r>
      <w:r w:rsidR="00956756">
        <w:t>,</w:t>
      </w:r>
      <w:r w:rsidR="00FA6628" w:rsidRPr="00FA6628">
        <w:t xml:space="preserve"> then the species may be considered for QMS introduction or managed through alternative sustainability measures under section 11 of the Act.</w:t>
      </w:r>
      <w:r w:rsidR="002E2FFA">
        <w:t xml:space="preserve"> </w:t>
      </w:r>
      <w:r w:rsidR="006606E4" w:rsidRPr="006606E4">
        <w:t xml:space="preserve">Compared to other scampi stocks, SCI 2 has an </w:t>
      </w:r>
      <w:r w:rsidR="006606E4" w:rsidRPr="006606E4">
        <w:lastRenderedPageBreak/>
        <w:t xml:space="preserve">intermediate level of bycatch. </w:t>
      </w:r>
      <w:r w:rsidRPr="009F5B63">
        <w:t xml:space="preserve">MPI acknowledges that levels of bycatch are likely to increase under the </w:t>
      </w:r>
      <w:r w:rsidR="00735460">
        <w:t>options to increase the TAC that are</w:t>
      </w:r>
      <w:r w:rsidRPr="009F5B63">
        <w:t xml:space="preserve"> proposed, however</w:t>
      </w:r>
      <w:r w:rsidR="00A316C1">
        <w:t xml:space="preserve"> there are processes in place to monitor and manage any risks associated with this increase in bycatch. </w:t>
      </w:r>
      <w:r w:rsidR="00E812C6">
        <w:t>P</w:t>
      </w:r>
      <w:r w:rsidR="003E339E">
        <w:t>lanned research for 2016-17 will continue the monitoring and quantification time series of bycatch in scampi fisheries</w:t>
      </w:r>
      <w:r w:rsidR="003E339E">
        <w:rPr>
          <w:rStyle w:val="FootnoteReference"/>
        </w:rPr>
        <w:footnoteReference w:id="2"/>
      </w:r>
      <w:r w:rsidR="003E339E">
        <w:t xml:space="preserve">. </w:t>
      </w:r>
    </w:p>
    <w:p w14:paraId="015172B8" w14:textId="77777777" w:rsidR="00DD150E" w:rsidRDefault="00DD150E" w:rsidP="00DD150E">
      <w:pPr>
        <w:pStyle w:val="Heading3"/>
      </w:pPr>
      <w:bookmarkStart w:id="36" w:name="_Toc453059209"/>
      <w:r w:rsidRPr="00676904">
        <w:t>Protected species interactions</w:t>
      </w:r>
      <w:bookmarkEnd w:id="36"/>
    </w:p>
    <w:p w14:paraId="2CAAAA54" w14:textId="65A359AF" w:rsidR="00CE4737" w:rsidRDefault="00CE4737" w:rsidP="00DD150E">
      <w:pPr>
        <w:pStyle w:val="ListParagraph"/>
        <w:spacing w:after="240"/>
        <w:ind w:left="0"/>
      </w:pPr>
      <w:r w:rsidRPr="00CE4737">
        <w:t>Management of seabird interactions with New Zealand’s commercial fisheries is driven through the 2013 National Plan of Action to Reduce the Incidental Captures of Seabirds in New Zealand fisheries (NPOA Seabirds). The NPOA Seabirds reflects New Zealand’s obligations under customary international law to take into account the effects of fishing on associated species such as seabirds.</w:t>
      </w:r>
      <w:r>
        <w:t xml:space="preserve"> </w:t>
      </w:r>
      <w:r w:rsidR="00DD150E" w:rsidRPr="00A5641D">
        <w:t>MPI has recently undertaken an</w:t>
      </w:r>
      <w:r w:rsidR="00DD150E">
        <w:t xml:space="preserve"> update to the</w:t>
      </w:r>
      <w:r w:rsidR="00DD150E" w:rsidRPr="00A5641D">
        <w:t xml:space="preserve"> </w:t>
      </w:r>
      <w:r w:rsidR="00886AE0">
        <w:t>risk assessment</w:t>
      </w:r>
      <w:r w:rsidR="002E2FFA">
        <w:t xml:space="preserve"> that underpins the NPOA that identifies seabird species considered to be most at risk from New Zealand fisheries</w:t>
      </w:r>
      <w:r w:rsidR="00DD150E" w:rsidRPr="00A5641D">
        <w:t>.</w:t>
      </w:r>
      <w:r w:rsidR="00DD150E" w:rsidRPr="00A5641D">
        <w:rPr>
          <w:rStyle w:val="FootnoteReference"/>
        </w:rPr>
        <w:footnoteReference w:id="3"/>
      </w:r>
      <w:r w:rsidR="00DD150E">
        <w:t xml:space="preserve"> </w:t>
      </w:r>
      <w:r w:rsidR="00DD150E" w:rsidRPr="00A5641D">
        <w:t xml:space="preserve">This research has identified that scampi fisheries contribute to </w:t>
      </w:r>
      <w:r w:rsidR="00DD150E">
        <w:t>9% of the total risk score for</w:t>
      </w:r>
      <w:r w:rsidR="00DD150E" w:rsidRPr="00A5641D">
        <w:t xml:space="preserve"> Salvin’s albatros</w:t>
      </w:r>
      <w:r w:rsidR="00DD150E">
        <w:t>s</w:t>
      </w:r>
      <w:r w:rsidR="00DD150E" w:rsidRPr="00A5641D">
        <w:t xml:space="preserve"> and </w:t>
      </w:r>
      <w:r w:rsidR="00DD150E">
        <w:t xml:space="preserve">15% for flesh-footed shearwater. Both species have been identified as being at very high risk from fishing. </w:t>
      </w:r>
      <w:r w:rsidR="00DD150E" w:rsidRPr="00A5641D">
        <w:t>However</w:t>
      </w:r>
      <w:r w:rsidR="00DD150E">
        <w:t>,</w:t>
      </w:r>
      <w:r w:rsidR="00DD150E" w:rsidRPr="00A5641D">
        <w:t xml:space="preserve"> the proportion of the total risk to </w:t>
      </w:r>
      <w:r w:rsidR="00DD150E">
        <w:t xml:space="preserve">both </w:t>
      </w:r>
      <w:r w:rsidR="00DD150E" w:rsidRPr="00A5641D">
        <w:t xml:space="preserve">species attributed to scampi fisheries is small as scampi </w:t>
      </w:r>
      <w:r w:rsidR="00DD150E">
        <w:t xml:space="preserve">fishing </w:t>
      </w:r>
      <w:r w:rsidR="00DD150E" w:rsidRPr="00A5641D">
        <w:t>is not the most significant risk to these birds.</w:t>
      </w:r>
      <w:r w:rsidR="00DD150E">
        <w:t xml:space="preserve"> </w:t>
      </w:r>
      <w:r w:rsidR="00DD150E" w:rsidRPr="00A5641D">
        <w:t xml:space="preserve">In addition, the majority of this risk is thought to be generated from the other scampi fisheries, rather than </w:t>
      </w:r>
      <w:r w:rsidR="00DD150E">
        <w:t xml:space="preserve">from </w:t>
      </w:r>
      <w:r w:rsidR="00DD150E" w:rsidRPr="00A5641D">
        <w:t>SCI</w:t>
      </w:r>
      <w:r w:rsidR="00DD150E">
        <w:t xml:space="preserve"> </w:t>
      </w:r>
      <w:r w:rsidR="00DD150E" w:rsidRPr="00A5641D">
        <w:t>2</w:t>
      </w:r>
    </w:p>
    <w:p w14:paraId="2A5515CF" w14:textId="77777777" w:rsidR="00DD150E" w:rsidRPr="00A5641D" w:rsidRDefault="00CE4737" w:rsidP="00DD150E">
      <w:pPr>
        <w:pStyle w:val="ListParagraph"/>
        <w:spacing w:after="240"/>
        <w:ind w:left="0"/>
      </w:pPr>
      <w:r w:rsidRPr="00A5641D" w:rsidDel="00CE4737">
        <w:t xml:space="preserve"> </w:t>
      </w:r>
    </w:p>
    <w:p w14:paraId="1D327B82" w14:textId="77777777" w:rsidR="00DD150E" w:rsidRDefault="00DD150E" w:rsidP="004249D9">
      <w:pPr>
        <w:pStyle w:val="ListParagraph"/>
        <w:spacing w:after="240"/>
        <w:ind w:left="0"/>
      </w:pPr>
      <w:r w:rsidRPr="00A5641D">
        <w:t>MPI acknowledges that with increased fishing effort more seabirds may be incidentally captured by the scampi fleet within SCI</w:t>
      </w:r>
      <w:r>
        <w:t xml:space="preserve"> </w:t>
      </w:r>
      <w:r w:rsidRPr="00A5641D">
        <w:t xml:space="preserve">2. </w:t>
      </w:r>
      <w:r w:rsidR="00CE4737">
        <w:t>Non-regulatory management</w:t>
      </w:r>
      <w:r w:rsidRPr="00AC0976">
        <w:rPr>
          <w:rFonts w:eastAsia="Calibri"/>
        </w:rPr>
        <w:t xml:space="preserve"> measures are used to reduce the risk o</w:t>
      </w:r>
      <w:r>
        <w:rPr>
          <w:rFonts w:eastAsia="Calibri"/>
        </w:rPr>
        <w:t xml:space="preserve">f seabird interactions by the scampi </w:t>
      </w:r>
      <w:r w:rsidRPr="00AC0976">
        <w:rPr>
          <w:rFonts w:eastAsia="Calibri"/>
        </w:rPr>
        <w:t xml:space="preserve">fleet. Every </w:t>
      </w:r>
      <w:r>
        <w:rPr>
          <w:rFonts w:eastAsia="Calibri"/>
        </w:rPr>
        <w:t>vessel targeting scampi has</w:t>
      </w:r>
      <w:r w:rsidRPr="00AC0976">
        <w:rPr>
          <w:rFonts w:eastAsia="Calibri"/>
        </w:rPr>
        <w:t xml:space="preserve"> developed a specific vessel management plan (VMP) that sets out the onboard practices vessels must follow to reduce the risk to seabirds, including offal management procedures and </w:t>
      </w:r>
      <w:r>
        <w:rPr>
          <w:rFonts w:eastAsia="Calibri"/>
        </w:rPr>
        <w:t xml:space="preserve">deployment of bird scaring devices for vessels under 28 m for which bird scaring devices are not mandatory. </w:t>
      </w:r>
      <w:r w:rsidRPr="00AC0976">
        <w:rPr>
          <w:rFonts w:eastAsia="Calibri"/>
        </w:rPr>
        <w:t>MPI monitors each vessel’s performance against its VMP and wor</w:t>
      </w:r>
      <w:r>
        <w:rPr>
          <w:rFonts w:eastAsia="Calibri"/>
        </w:rPr>
        <w:t>ks with the Deepwater Group Ltd</w:t>
      </w:r>
      <w:r w:rsidRPr="00AC0976">
        <w:rPr>
          <w:rFonts w:eastAsia="Calibri"/>
        </w:rPr>
        <w:t xml:space="preserve"> (DWG) to rectify any non-adherence </w:t>
      </w:r>
      <w:r>
        <w:rPr>
          <w:rFonts w:eastAsia="Calibri"/>
        </w:rPr>
        <w:t xml:space="preserve">with non-regulatory measures, </w:t>
      </w:r>
      <w:r w:rsidRPr="00AC0976">
        <w:rPr>
          <w:rFonts w:eastAsia="Calibri"/>
        </w:rPr>
        <w:t>and al</w:t>
      </w:r>
      <w:r>
        <w:rPr>
          <w:rFonts w:eastAsia="Calibri"/>
        </w:rPr>
        <w:t>so to assist the fleet to improve</w:t>
      </w:r>
      <w:r w:rsidRPr="00AC0976">
        <w:rPr>
          <w:rFonts w:eastAsia="Calibri"/>
        </w:rPr>
        <w:t xml:space="preserve"> their offal management </w:t>
      </w:r>
      <w:r>
        <w:rPr>
          <w:rFonts w:eastAsia="Calibri"/>
        </w:rPr>
        <w:t>practices</w:t>
      </w:r>
      <w:r w:rsidRPr="00AC0976">
        <w:rPr>
          <w:rFonts w:eastAsia="Calibri"/>
        </w:rPr>
        <w:t xml:space="preserve">. </w:t>
      </w:r>
      <w:r>
        <w:rPr>
          <w:rFonts w:eastAsia="Calibri"/>
        </w:rPr>
        <w:t>These practices will continue in 2016-17.</w:t>
      </w:r>
    </w:p>
    <w:p w14:paraId="34B8E921" w14:textId="77777777" w:rsidR="00703CEE" w:rsidRPr="00DD150E" w:rsidRDefault="00DD150E" w:rsidP="00703CEE">
      <w:r>
        <w:t>The capture rate of marine mammals in SCI 2 is very low. It is not thought that the rate of captures is having an adverse effect of the populations of these species.</w:t>
      </w:r>
    </w:p>
    <w:p w14:paraId="34D47057" w14:textId="77777777" w:rsidR="00DD150E" w:rsidRPr="00676904" w:rsidRDefault="00DD150E" w:rsidP="00DD150E">
      <w:pPr>
        <w:pStyle w:val="Heading3"/>
        <w:rPr>
          <w:rFonts w:eastAsia="Calibri"/>
        </w:rPr>
      </w:pPr>
      <w:bookmarkStart w:id="37" w:name="_Toc453059210"/>
      <w:r w:rsidRPr="00676904">
        <w:t>Benthic impacts</w:t>
      </w:r>
      <w:bookmarkEnd w:id="37"/>
    </w:p>
    <w:p w14:paraId="54E69787" w14:textId="77777777" w:rsidR="00DD150E" w:rsidRPr="00EC2BB9" w:rsidRDefault="00DD150E" w:rsidP="00DD150E">
      <w:pPr>
        <w:rPr>
          <w:rFonts w:eastAsia="Calibri"/>
        </w:rPr>
      </w:pPr>
      <w:r w:rsidRPr="00EC2BB9">
        <w:rPr>
          <w:rFonts w:eastAsia="Calibri"/>
        </w:rPr>
        <w:t xml:space="preserve">Bottom trawling for scampi is known to have an impact on benthic habitats.  However, the scampi fishery has evolved to use lighter bottom gear with multiple rigs which mitigates some of this impact. Furthermore, fragile benthic invertebrate communities are found primarily on hard substrates that do not occur within the core fishing area of SCI 2, where soft sediment and mud substrate predominates. </w:t>
      </w:r>
    </w:p>
    <w:p w14:paraId="2D4FF70A" w14:textId="77777777" w:rsidR="00DD150E" w:rsidRDefault="00DD150E" w:rsidP="00DD150E">
      <w:pPr>
        <w:rPr>
          <w:rFonts w:eastAsia="Calibri"/>
        </w:rPr>
      </w:pPr>
    </w:p>
    <w:p w14:paraId="6FC50675" w14:textId="77777777" w:rsidR="00DD150E" w:rsidRPr="00EC2BB9" w:rsidRDefault="00DD150E" w:rsidP="00DD150E">
      <w:pPr>
        <w:rPr>
          <w:rFonts w:eastAsia="Calibri"/>
        </w:rPr>
      </w:pPr>
      <w:r w:rsidRPr="00EC2BB9">
        <w:rPr>
          <w:rFonts w:eastAsia="Calibri"/>
        </w:rPr>
        <w:t xml:space="preserve">The scampi fishery is constrained to a specific depth band and substrate. As a result, an increase in scampi abundance </w:t>
      </w:r>
      <w:r>
        <w:rPr>
          <w:rFonts w:eastAsia="Calibri"/>
        </w:rPr>
        <w:t>is unlikely to</w:t>
      </w:r>
      <w:r w:rsidRPr="00EC2BB9">
        <w:rPr>
          <w:rFonts w:eastAsia="Calibri"/>
        </w:rPr>
        <w:t xml:space="preserve"> result in a widening of the scampi fishing area, or spreading of scampi fishing into other benthic habitats, but rather an increase in the density of scampi</w:t>
      </w:r>
      <w:r>
        <w:rPr>
          <w:rFonts w:eastAsia="Calibri"/>
        </w:rPr>
        <w:t xml:space="preserve"> fishing effort</w:t>
      </w:r>
      <w:r w:rsidRPr="00EC2BB9">
        <w:rPr>
          <w:rFonts w:eastAsia="Calibri"/>
        </w:rPr>
        <w:t xml:space="preserve"> within the already exploited area. </w:t>
      </w:r>
    </w:p>
    <w:p w14:paraId="7495AFCF" w14:textId="77777777" w:rsidR="00DD150E" w:rsidRDefault="00DD150E" w:rsidP="00DD150E">
      <w:pPr>
        <w:rPr>
          <w:rFonts w:eastAsia="Calibri"/>
        </w:rPr>
      </w:pPr>
    </w:p>
    <w:p w14:paraId="2D869B66" w14:textId="6966E251" w:rsidR="00DD150E" w:rsidRPr="00676904" w:rsidRDefault="00DD150E" w:rsidP="00DD150E">
      <w:pPr>
        <w:rPr>
          <w:rFonts w:eastAsia="Calibri"/>
        </w:rPr>
      </w:pPr>
      <w:r>
        <w:rPr>
          <w:rFonts w:eastAsia="Calibri"/>
        </w:rPr>
        <w:t xml:space="preserve">MPI will continue to monitor the trawl footprint of scampi and other deepwater fisheries annually. </w:t>
      </w:r>
    </w:p>
    <w:p w14:paraId="200473FE" w14:textId="77777777" w:rsidR="00DD150E" w:rsidRDefault="00DD150E" w:rsidP="00DD150E">
      <w:pPr>
        <w:rPr>
          <w:rFonts w:eastAsia="Calibri"/>
        </w:rPr>
      </w:pPr>
    </w:p>
    <w:p w14:paraId="65E2AC3D" w14:textId="7EDD400E" w:rsidR="00DD150E" w:rsidRDefault="00DD150E" w:rsidP="00DD150E">
      <w:pPr>
        <w:rPr>
          <w:rFonts w:eastAsia="Calibri"/>
        </w:rPr>
      </w:pPr>
      <w:r w:rsidRPr="00EC2BB9">
        <w:rPr>
          <w:rFonts w:eastAsia="Calibri"/>
        </w:rPr>
        <w:lastRenderedPageBreak/>
        <w:t>MPI acknowledges th</w:t>
      </w:r>
      <w:r>
        <w:rPr>
          <w:rFonts w:eastAsia="Calibri"/>
        </w:rPr>
        <w:t>at the options</w:t>
      </w:r>
      <w:r w:rsidR="00FA2EBF">
        <w:rPr>
          <w:rFonts w:eastAsia="Calibri"/>
        </w:rPr>
        <w:t xml:space="preserve"> proposed that will increase the TACC </w:t>
      </w:r>
      <w:r w:rsidRPr="00EC2BB9">
        <w:rPr>
          <w:rFonts w:eastAsia="Calibri"/>
        </w:rPr>
        <w:t xml:space="preserve">will likely result in increased fishing effort and therefore increased contact with the benthos. However, MPI is satisfied that the </w:t>
      </w:r>
      <w:r w:rsidR="00FA2EBF">
        <w:rPr>
          <w:rFonts w:eastAsia="Calibri"/>
        </w:rPr>
        <w:t>additional</w:t>
      </w:r>
      <w:r w:rsidR="00735460">
        <w:rPr>
          <w:rFonts w:eastAsia="Calibri"/>
        </w:rPr>
        <w:t xml:space="preserve"> </w:t>
      </w:r>
      <w:r w:rsidRPr="00EC2BB9">
        <w:rPr>
          <w:rFonts w:eastAsia="Calibri"/>
        </w:rPr>
        <w:t xml:space="preserve">risk this increase in </w:t>
      </w:r>
      <w:r w:rsidR="00F650E5">
        <w:rPr>
          <w:rFonts w:eastAsia="Calibri"/>
        </w:rPr>
        <w:t xml:space="preserve">fishing </w:t>
      </w:r>
      <w:r w:rsidRPr="00EC2BB9">
        <w:rPr>
          <w:rFonts w:eastAsia="Calibri"/>
        </w:rPr>
        <w:t>will have on the benthos habitat is low.</w:t>
      </w:r>
    </w:p>
    <w:p w14:paraId="43F69F9D" w14:textId="77777777" w:rsidR="00185CEB" w:rsidRPr="006C65ED" w:rsidRDefault="00185CEB" w:rsidP="006C65ED"/>
    <w:p w14:paraId="675622C0" w14:textId="77777777" w:rsidR="00471C3D" w:rsidRDefault="00471C3D" w:rsidP="00471C3D">
      <w:pPr>
        <w:pStyle w:val="Heading1"/>
      </w:pPr>
      <w:bookmarkStart w:id="38" w:name="_Toc398800959"/>
      <w:bookmarkStart w:id="39" w:name="_Toc398801135"/>
      <w:bookmarkStart w:id="40" w:name="_Toc399138993"/>
      <w:bookmarkStart w:id="41" w:name="_Toc399398694"/>
      <w:bookmarkStart w:id="42" w:name="_Toc399138994"/>
      <w:bookmarkStart w:id="43" w:name="_Toc453059211"/>
      <w:bookmarkEnd w:id="38"/>
      <w:bookmarkEnd w:id="39"/>
      <w:bookmarkEnd w:id="40"/>
      <w:bookmarkEnd w:id="41"/>
      <w:r>
        <w:t>Proposed Options</w:t>
      </w:r>
      <w:bookmarkEnd w:id="42"/>
      <w:bookmarkEnd w:id="43"/>
    </w:p>
    <w:p w14:paraId="6E7FFBFC" w14:textId="77777777" w:rsidR="00DD150E" w:rsidRDefault="00DD150E" w:rsidP="00DD150E">
      <w:r w:rsidRPr="00463CEA">
        <w:t>Given the stock assessment results discussed, MPI is consulting on management options which propose a range of increases in the TAC, TACC, and allowances for SCI</w:t>
      </w:r>
      <w:r>
        <w:t xml:space="preserve"> </w:t>
      </w:r>
      <w:r w:rsidRPr="00463CEA">
        <w:t>2</w:t>
      </w:r>
      <w:r>
        <w:t xml:space="preserve"> (Table </w:t>
      </w:r>
      <w:r w:rsidR="007A0B87">
        <w:t>1</w:t>
      </w:r>
      <w:r>
        <w:t>).</w:t>
      </w:r>
    </w:p>
    <w:p w14:paraId="3EF2E364" w14:textId="77777777" w:rsidR="00DD150E" w:rsidRDefault="00DD150E" w:rsidP="00DD150E"/>
    <w:p w14:paraId="070A3C16" w14:textId="77777777" w:rsidR="00DD150E" w:rsidRDefault="00DD150E" w:rsidP="00DD150E">
      <w:r>
        <w:t xml:space="preserve">The stock assessment model was used to generate a series of projections that provide estimates of future stock status in relation to </w:t>
      </w:r>
      <w:r w:rsidRPr="001A1BAC">
        <w:t>B</w:t>
      </w:r>
      <w:r w:rsidRPr="001A1BAC">
        <w:rPr>
          <w:vertAlign w:val="subscript"/>
        </w:rPr>
        <w:t>0</w:t>
      </w:r>
      <w:r w:rsidRPr="00D57D52">
        <w:t xml:space="preserve"> </w:t>
      </w:r>
      <w:r>
        <w:t xml:space="preserve">and the target and limit reference points. The projections estimate the likely stock status trajectory under different catch scenarios to guide selection of appropriate management settings. Average recruitment from the previous ten years calculated from the stock assessment model is assumed when calculating projections.  </w:t>
      </w:r>
    </w:p>
    <w:p w14:paraId="2EAFD9C8" w14:textId="77777777" w:rsidR="00DD150E" w:rsidRDefault="00DD150E" w:rsidP="00DD150E"/>
    <w:p w14:paraId="2B429391" w14:textId="77777777" w:rsidR="00DD150E" w:rsidRDefault="00DD150E" w:rsidP="00DD150E">
      <w:pPr>
        <w:pStyle w:val="ListParagraph"/>
        <w:ind w:left="0"/>
      </w:pPr>
      <w:r>
        <w:t xml:space="preserve">To inform the current review of management settings, five year projections have been produced based on a range of constant annual catch scenarios, from current catch levels (averaged over the previous 5 years) of 118 tonnes up to a TACC of 200 tonnes. </w:t>
      </w:r>
    </w:p>
    <w:p w14:paraId="3423E736" w14:textId="77777777" w:rsidR="00DD150E" w:rsidRDefault="00DD150E" w:rsidP="00DD150E">
      <w:pPr>
        <w:pStyle w:val="ListParagraph"/>
        <w:ind w:left="0"/>
      </w:pPr>
    </w:p>
    <w:p w14:paraId="6069CBAC" w14:textId="77C172BC" w:rsidR="00DD150E" w:rsidRDefault="00DD150E" w:rsidP="00DD150E">
      <w:pPr>
        <w:pStyle w:val="ListParagraph"/>
        <w:ind w:left="0"/>
        <w:rPr>
          <w:vertAlign w:val="subscript"/>
        </w:rPr>
      </w:pPr>
      <w:r w:rsidRPr="003D5D0E">
        <w:t xml:space="preserve">All catch </w:t>
      </w:r>
      <w:r>
        <w:t>scenarios</w:t>
      </w:r>
      <w:r w:rsidRPr="003D5D0E">
        <w:t xml:space="preserve"> are projected to maintain biomass at or above the management target (40% B</w:t>
      </w:r>
      <w:r w:rsidRPr="003D5D0E">
        <w:rPr>
          <w:vertAlign w:val="subscript"/>
        </w:rPr>
        <w:t>0</w:t>
      </w:r>
      <w:r>
        <w:t>) until 2021 with 98-99</w:t>
      </w:r>
      <w:r w:rsidRPr="003D5D0E">
        <w:t xml:space="preserve">% probability. </w:t>
      </w:r>
      <w:r>
        <w:t>If current catches are maintained at the current TACC, projections indicate that the biomass in 2021 would be 97% B</w:t>
      </w:r>
      <w:r w:rsidRPr="001A1BAC">
        <w:rPr>
          <w:vertAlign w:val="subscript"/>
        </w:rPr>
        <w:t>0</w:t>
      </w:r>
      <w:r>
        <w:t xml:space="preserve">. Increasing catch to the maximum TACC option proposed of </w:t>
      </w:r>
      <w:r w:rsidR="002B698D">
        <w:t xml:space="preserve">173 </w:t>
      </w:r>
      <w:r>
        <w:t>tonnes, would reduce biomass in 2021 to 8</w:t>
      </w:r>
      <w:r w:rsidR="002B698D">
        <w:t>8</w:t>
      </w:r>
      <w:r>
        <w:t>% B</w:t>
      </w:r>
      <w:r w:rsidRPr="001A1BAC">
        <w:rPr>
          <w:vertAlign w:val="subscript"/>
        </w:rPr>
        <w:t>0</w:t>
      </w:r>
      <w:r>
        <w:t xml:space="preserve"> (Table 3). For none of the options proposed do the 95% confidence bounds</w:t>
      </w:r>
      <w:r w:rsidRPr="003922F4">
        <w:t xml:space="preserve"> </w:t>
      </w:r>
      <w:r>
        <w:t>for each projection scenario drop below the management target of 40% B</w:t>
      </w:r>
      <w:r w:rsidRPr="00E4549B">
        <w:rPr>
          <w:vertAlign w:val="subscript"/>
        </w:rPr>
        <w:t>0</w:t>
      </w:r>
      <w:r w:rsidR="00AA3B85">
        <w:t>. MPI has not proposed to increase the TACC to the level</w:t>
      </w:r>
      <w:r w:rsidR="000B01FF">
        <w:t xml:space="preserve"> (200 tonne)</w:t>
      </w:r>
      <w:r w:rsidR="00AA3B85">
        <w:t xml:space="preserve"> at which it was set when it was introduced </w:t>
      </w:r>
      <w:r w:rsidR="00E812C6">
        <w:t>to the QMS</w:t>
      </w:r>
      <w:r w:rsidR="00AA3B85">
        <w:t xml:space="preserve"> as the TACC was then subsequently halved due to sustainability concerns in 2011-12. </w:t>
      </w:r>
    </w:p>
    <w:p w14:paraId="55B76325" w14:textId="77777777" w:rsidR="00DD150E" w:rsidRDefault="00DD150E" w:rsidP="00DD150E">
      <w:pPr>
        <w:pStyle w:val="ListParagraph"/>
        <w:ind w:left="0"/>
      </w:pPr>
    </w:p>
    <w:p w14:paraId="77635E3A" w14:textId="77777777" w:rsidR="00DD150E" w:rsidRPr="001A1BAC" w:rsidRDefault="00DD150E" w:rsidP="00DD150E">
      <w:pPr>
        <w:pStyle w:val="TableMainTitle"/>
      </w:pPr>
      <w:r w:rsidRPr="001A1BAC">
        <w:t>Table 3: Probabilities of spawning stock biomass being below or above respective management limits or target; also shown in the bottom row is estimated percentage of B</w:t>
      </w:r>
      <w:r w:rsidRPr="001A1BAC">
        <w:rPr>
          <w:vertAlign w:val="subscript"/>
        </w:rPr>
        <w:t>0</w:t>
      </w:r>
      <w:r w:rsidRPr="001A1BAC">
        <w:t xml:space="preserve"> the stock is projected to be in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262"/>
        <w:gridCol w:w="1518"/>
        <w:gridCol w:w="1549"/>
        <w:gridCol w:w="1486"/>
        <w:gridCol w:w="1486"/>
      </w:tblGrid>
      <w:tr w:rsidR="007A0B87" w:rsidRPr="00AE7F25" w14:paraId="1A288751" w14:textId="77777777" w:rsidTr="00D92FA9">
        <w:trPr>
          <w:trHeight w:val="280"/>
        </w:trPr>
        <w:tc>
          <w:tcPr>
            <w:tcW w:w="1526" w:type="pct"/>
            <w:tcBorders>
              <w:top w:val="single" w:sz="4" w:space="0" w:color="auto"/>
              <w:left w:val="nil"/>
              <w:bottom w:val="nil"/>
              <w:right w:val="nil"/>
            </w:tcBorders>
            <w:shd w:val="clear" w:color="auto" w:fill="auto"/>
            <w:noWrap/>
          </w:tcPr>
          <w:p w14:paraId="3A22C477" w14:textId="77777777" w:rsidR="007A0B87" w:rsidRPr="00AE7F25" w:rsidRDefault="007A0B87" w:rsidP="00FE3177">
            <w:pPr>
              <w:rPr>
                <w:rFonts w:ascii="Arial Narrow" w:hAnsi="Arial Narrow"/>
                <w:b/>
                <w:color w:val="000000"/>
                <w:sz w:val="20"/>
                <w:lang w:eastAsia="en-NZ"/>
              </w:rPr>
            </w:pPr>
          </w:p>
        </w:tc>
        <w:tc>
          <w:tcPr>
            <w:tcW w:w="144" w:type="pct"/>
            <w:tcBorders>
              <w:top w:val="single" w:sz="4" w:space="0" w:color="auto"/>
              <w:left w:val="nil"/>
              <w:bottom w:val="nil"/>
              <w:right w:val="nil"/>
            </w:tcBorders>
            <w:shd w:val="clear" w:color="auto" w:fill="auto"/>
            <w:noWrap/>
          </w:tcPr>
          <w:p w14:paraId="62D7EA8F" w14:textId="77777777" w:rsidR="007A0B87" w:rsidRPr="00AE7F25" w:rsidRDefault="007A0B87" w:rsidP="00FE3177">
            <w:pPr>
              <w:jc w:val="right"/>
              <w:rPr>
                <w:rFonts w:ascii="Arial Narrow" w:hAnsi="Arial Narrow"/>
                <w:color w:val="000000"/>
                <w:sz w:val="20"/>
                <w:lang w:eastAsia="en-NZ"/>
              </w:rPr>
            </w:pPr>
          </w:p>
        </w:tc>
        <w:tc>
          <w:tcPr>
            <w:tcW w:w="837" w:type="pct"/>
            <w:tcBorders>
              <w:top w:val="single" w:sz="4" w:space="0" w:color="auto"/>
              <w:left w:val="nil"/>
              <w:bottom w:val="nil"/>
              <w:right w:val="nil"/>
            </w:tcBorders>
            <w:shd w:val="clear" w:color="auto" w:fill="auto"/>
            <w:noWrap/>
          </w:tcPr>
          <w:p w14:paraId="104E6E48"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Current catch</w:t>
            </w:r>
          </w:p>
        </w:tc>
        <w:tc>
          <w:tcPr>
            <w:tcW w:w="854" w:type="pct"/>
            <w:tcBorders>
              <w:top w:val="single" w:sz="4" w:space="0" w:color="auto"/>
              <w:left w:val="nil"/>
              <w:bottom w:val="nil"/>
              <w:right w:val="nil"/>
            </w:tcBorders>
            <w:shd w:val="clear" w:color="auto" w:fill="auto"/>
            <w:noWrap/>
          </w:tcPr>
          <w:p w14:paraId="2BE97D13"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Current TACC</w:t>
            </w:r>
          </w:p>
        </w:tc>
        <w:tc>
          <w:tcPr>
            <w:tcW w:w="819" w:type="pct"/>
            <w:tcBorders>
              <w:top w:val="single" w:sz="4" w:space="0" w:color="auto"/>
              <w:left w:val="nil"/>
              <w:bottom w:val="nil"/>
              <w:right w:val="nil"/>
            </w:tcBorders>
            <w:shd w:val="clear" w:color="auto" w:fill="auto"/>
            <w:noWrap/>
          </w:tcPr>
          <w:p w14:paraId="37700F3B"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10% increase</w:t>
            </w:r>
          </w:p>
        </w:tc>
        <w:tc>
          <w:tcPr>
            <w:tcW w:w="819" w:type="pct"/>
            <w:tcBorders>
              <w:top w:val="single" w:sz="4" w:space="0" w:color="auto"/>
              <w:left w:val="nil"/>
              <w:bottom w:val="nil"/>
              <w:right w:val="nil"/>
            </w:tcBorders>
            <w:shd w:val="clear" w:color="auto" w:fill="auto"/>
            <w:noWrap/>
          </w:tcPr>
          <w:p w14:paraId="61050F4A"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30% increase</w:t>
            </w:r>
          </w:p>
        </w:tc>
      </w:tr>
      <w:tr w:rsidR="007A0B87" w:rsidRPr="00AE7F25" w14:paraId="399C4D0E" w14:textId="77777777" w:rsidTr="004249D9">
        <w:trPr>
          <w:trHeight w:val="280"/>
        </w:trPr>
        <w:tc>
          <w:tcPr>
            <w:tcW w:w="1526" w:type="pct"/>
            <w:tcBorders>
              <w:top w:val="nil"/>
              <w:left w:val="nil"/>
              <w:bottom w:val="single" w:sz="4" w:space="0" w:color="auto"/>
              <w:right w:val="nil"/>
            </w:tcBorders>
            <w:shd w:val="clear" w:color="auto" w:fill="auto"/>
            <w:noWrap/>
            <w:hideMark/>
          </w:tcPr>
          <w:p w14:paraId="1FDBE474" w14:textId="77777777" w:rsidR="007A0B87" w:rsidRPr="00AE7F25" w:rsidRDefault="007A0B87" w:rsidP="00FE3177">
            <w:pPr>
              <w:rPr>
                <w:rFonts w:ascii="Arial Narrow" w:hAnsi="Arial Narrow"/>
                <w:b/>
                <w:color w:val="000000"/>
                <w:sz w:val="20"/>
                <w:lang w:eastAsia="en-NZ"/>
              </w:rPr>
            </w:pPr>
            <w:r>
              <w:rPr>
                <w:rFonts w:ascii="Arial Narrow" w:hAnsi="Arial Narrow"/>
                <w:b/>
                <w:color w:val="000000"/>
                <w:sz w:val="20"/>
                <w:lang w:eastAsia="en-NZ"/>
              </w:rPr>
              <w:t>2021</w:t>
            </w:r>
          </w:p>
        </w:tc>
        <w:tc>
          <w:tcPr>
            <w:tcW w:w="144" w:type="pct"/>
            <w:tcBorders>
              <w:top w:val="nil"/>
              <w:left w:val="nil"/>
              <w:bottom w:val="single" w:sz="4" w:space="0" w:color="auto"/>
              <w:right w:val="nil"/>
            </w:tcBorders>
            <w:shd w:val="clear" w:color="auto" w:fill="auto"/>
            <w:noWrap/>
            <w:hideMark/>
          </w:tcPr>
          <w:p w14:paraId="51D7E831" w14:textId="77777777" w:rsidR="007A0B87" w:rsidRPr="00AE7F25" w:rsidRDefault="007A0B87" w:rsidP="00FE3177">
            <w:pPr>
              <w:jc w:val="right"/>
              <w:rPr>
                <w:rFonts w:ascii="Arial Narrow" w:hAnsi="Arial Narrow"/>
                <w:color w:val="000000"/>
                <w:sz w:val="20"/>
                <w:lang w:eastAsia="en-NZ"/>
              </w:rPr>
            </w:pPr>
          </w:p>
        </w:tc>
        <w:tc>
          <w:tcPr>
            <w:tcW w:w="837" w:type="pct"/>
            <w:tcBorders>
              <w:top w:val="nil"/>
              <w:left w:val="nil"/>
              <w:bottom w:val="single" w:sz="4" w:space="0" w:color="auto"/>
              <w:right w:val="nil"/>
            </w:tcBorders>
            <w:shd w:val="clear" w:color="auto" w:fill="auto"/>
            <w:noWrap/>
            <w:hideMark/>
          </w:tcPr>
          <w:p w14:paraId="62F38687"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118</w:t>
            </w:r>
          </w:p>
        </w:tc>
        <w:tc>
          <w:tcPr>
            <w:tcW w:w="854" w:type="pct"/>
            <w:tcBorders>
              <w:top w:val="nil"/>
              <w:left w:val="nil"/>
              <w:bottom w:val="single" w:sz="4" w:space="0" w:color="auto"/>
              <w:right w:val="nil"/>
            </w:tcBorders>
            <w:shd w:val="clear" w:color="auto" w:fill="auto"/>
            <w:noWrap/>
            <w:hideMark/>
          </w:tcPr>
          <w:p w14:paraId="337CC402"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133</w:t>
            </w:r>
          </w:p>
        </w:tc>
        <w:tc>
          <w:tcPr>
            <w:tcW w:w="819" w:type="pct"/>
            <w:tcBorders>
              <w:top w:val="nil"/>
              <w:left w:val="nil"/>
              <w:bottom w:val="single" w:sz="4" w:space="0" w:color="auto"/>
              <w:right w:val="nil"/>
            </w:tcBorders>
            <w:shd w:val="clear" w:color="auto" w:fill="auto"/>
            <w:noWrap/>
            <w:hideMark/>
          </w:tcPr>
          <w:p w14:paraId="547847D5"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146</w:t>
            </w:r>
          </w:p>
        </w:tc>
        <w:tc>
          <w:tcPr>
            <w:tcW w:w="819" w:type="pct"/>
            <w:tcBorders>
              <w:top w:val="nil"/>
              <w:left w:val="nil"/>
              <w:bottom w:val="single" w:sz="4" w:space="0" w:color="auto"/>
              <w:right w:val="nil"/>
            </w:tcBorders>
            <w:shd w:val="clear" w:color="auto" w:fill="auto"/>
            <w:noWrap/>
            <w:hideMark/>
          </w:tcPr>
          <w:p w14:paraId="25689EAE" w14:textId="77777777" w:rsidR="007A0B87" w:rsidRPr="00AE7F25" w:rsidRDefault="007A0B87" w:rsidP="00FE3177">
            <w:pPr>
              <w:jc w:val="right"/>
              <w:rPr>
                <w:rFonts w:ascii="Arial Narrow" w:hAnsi="Arial Narrow"/>
                <w:b/>
                <w:color w:val="000000"/>
                <w:sz w:val="20"/>
                <w:lang w:eastAsia="en-NZ"/>
              </w:rPr>
            </w:pPr>
            <w:r w:rsidRPr="00AE7F25">
              <w:rPr>
                <w:rFonts w:ascii="Arial Narrow" w:hAnsi="Arial Narrow"/>
                <w:b/>
                <w:color w:val="000000"/>
                <w:sz w:val="20"/>
                <w:lang w:eastAsia="en-NZ"/>
              </w:rPr>
              <w:t>173</w:t>
            </w:r>
          </w:p>
        </w:tc>
      </w:tr>
      <w:tr w:rsidR="007A0B87" w:rsidRPr="00AE7F25" w14:paraId="77FDF69F" w14:textId="77777777" w:rsidTr="004249D9">
        <w:trPr>
          <w:trHeight w:val="280"/>
        </w:trPr>
        <w:tc>
          <w:tcPr>
            <w:tcW w:w="1526" w:type="pct"/>
            <w:tcBorders>
              <w:top w:val="nil"/>
              <w:left w:val="nil"/>
              <w:bottom w:val="nil"/>
              <w:right w:val="single" w:sz="4" w:space="0" w:color="auto"/>
            </w:tcBorders>
            <w:shd w:val="clear" w:color="auto" w:fill="auto"/>
            <w:noWrap/>
            <w:hideMark/>
          </w:tcPr>
          <w:p w14:paraId="3C44F5BE" w14:textId="77777777" w:rsidR="007A0B87" w:rsidRPr="00AE7F25" w:rsidRDefault="007A0B87" w:rsidP="00FE3177">
            <w:pPr>
              <w:rPr>
                <w:rFonts w:ascii="Arial Narrow" w:hAnsi="Arial Narrow"/>
                <w:b/>
                <w:color w:val="000000"/>
                <w:sz w:val="20"/>
                <w:lang w:eastAsia="en-NZ"/>
              </w:rPr>
            </w:pPr>
            <w:r w:rsidRPr="00AE7F25">
              <w:rPr>
                <w:rFonts w:ascii="Arial Narrow" w:hAnsi="Arial Narrow"/>
                <w:b/>
                <w:color w:val="000000"/>
                <w:sz w:val="20"/>
                <w:lang w:eastAsia="en-NZ"/>
              </w:rPr>
              <w:t>Prob</w:t>
            </w:r>
            <w:r>
              <w:rPr>
                <w:rFonts w:ascii="Arial Narrow" w:hAnsi="Arial Narrow"/>
                <w:b/>
                <w:color w:val="000000"/>
                <w:sz w:val="20"/>
                <w:lang w:eastAsia="en-NZ"/>
              </w:rPr>
              <w:t xml:space="preserve"> &gt;</w:t>
            </w:r>
            <w:r w:rsidRPr="00AE7F25">
              <w:rPr>
                <w:rFonts w:ascii="Arial Narrow" w:hAnsi="Arial Narrow"/>
                <w:b/>
                <w:color w:val="000000"/>
                <w:sz w:val="20"/>
                <w:lang w:eastAsia="en-NZ"/>
              </w:rPr>
              <w:t xml:space="preserve">  Hard Limit (10% B</w:t>
            </w:r>
            <w:r w:rsidRPr="00AE7F25">
              <w:rPr>
                <w:rFonts w:ascii="Arial Narrow" w:hAnsi="Arial Narrow"/>
                <w:b/>
                <w:color w:val="000000"/>
                <w:sz w:val="20"/>
                <w:vertAlign w:val="subscript"/>
                <w:lang w:eastAsia="en-NZ"/>
              </w:rPr>
              <w:t>0</w:t>
            </w:r>
            <w:r w:rsidRPr="00AE7F25">
              <w:rPr>
                <w:rFonts w:ascii="Arial Narrow" w:hAnsi="Arial Narrow"/>
                <w:b/>
                <w:color w:val="000000"/>
                <w:sz w:val="20"/>
                <w:lang w:eastAsia="en-NZ"/>
              </w:rPr>
              <w:t>)</w:t>
            </w:r>
          </w:p>
        </w:tc>
        <w:tc>
          <w:tcPr>
            <w:tcW w:w="144" w:type="pct"/>
            <w:tcBorders>
              <w:top w:val="nil"/>
              <w:left w:val="single" w:sz="4" w:space="0" w:color="auto"/>
              <w:bottom w:val="nil"/>
              <w:right w:val="nil"/>
            </w:tcBorders>
            <w:shd w:val="clear" w:color="auto" w:fill="auto"/>
            <w:noWrap/>
            <w:hideMark/>
          </w:tcPr>
          <w:p w14:paraId="3C9443D4" w14:textId="77777777" w:rsidR="007A0B87" w:rsidRPr="00AE7F25" w:rsidRDefault="007A0B87" w:rsidP="00FE3177">
            <w:pPr>
              <w:jc w:val="right"/>
              <w:rPr>
                <w:rFonts w:ascii="Arial Narrow" w:hAnsi="Arial Narrow"/>
                <w:color w:val="000000"/>
                <w:sz w:val="20"/>
                <w:lang w:eastAsia="en-NZ"/>
              </w:rPr>
            </w:pPr>
          </w:p>
        </w:tc>
        <w:tc>
          <w:tcPr>
            <w:tcW w:w="837" w:type="pct"/>
            <w:tcBorders>
              <w:top w:val="nil"/>
              <w:left w:val="nil"/>
              <w:bottom w:val="nil"/>
              <w:right w:val="nil"/>
            </w:tcBorders>
            <w:shd w:val="clear" w:color="auto" w:fill="auto"/>
            <w:noWrap/>
            <w:hideMark/>
          </w:tcPr>
          <w:p w14:paraId="1EFAF2A3"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54" w:type="pct"/>
            <w:tcBorders>
              <w:top w:val="nil"/>
              <w:left w:val="nil"/>
              <w:bottom w:val="nil"/>
              <w:right w:val="nil"/>
            </w:tcBorders>
            <w:shd w:val="clear" w:color="auto" w:fill="auto"/>
            <w:noWrap/>
            <w:hideMark/>
          </w:tcPr>
          <w:p w14:paraId="1C3B09CB"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19" w:type="pct"/>
            <w:tcBorders>
              <w:top w:val="nil"/>
              <w:left w:val="nil"/>
              <w:bottom w:val="nil"/>
              <w:right w:val="nil"/>
            </w:tcBorders>
            <w:shd w:val="clear" w:color="auto" w:fill="auto"/>
            <w:noWrap/>
            <w:hideMark/>
          </w:tcPr>
          <w:p w14:paraId="1FF37B87"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19" w:type="pct"/>
            <w:tcBorders>
              <w:top w:val="nil"/>
              <w:left w:val="nil"/>
              <w:bottom w:val="nil"/>
              <w:right w:val="nil"/>
            </w:tcBorders>
            <w:shd w:val="clear" w:color="auto" w:fill="auto"/>
            <w:noWrap/>
            <w:hideMark/>
          </w:tcPr>
          <w:p w14:paraId="5AD6A828"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r>
      <w:tr w:rsidR="007A0B87" w:rsidRPr="00AE7F25" w14:paraId="4E16C744" w14:textId="77777777" w:rsidTr="004249D9">
        <w:trPr>
          <w:trHeight w:val="280"/>
        </w:trPr>
        <w:tc>
          <w:tcPr>
            <w:tcW w:w="1526" w:type="pct"/>
            <w:tcBorders>
              <w:top w:val="nil"/>
              <w:left w:val="nil"/>
              <w:bottom w:val="nil"/>
              <w:right w:val="single" w:sz="4" w:space="0" w:color="auto"/>
            </w:tcBorders>
            <w:shd w:val="clear" w:color="auto" w:fill="auto"/>
            <w:noWrap/>
            <w:hideMark/>
          </w:tcPr>
          <w:p w14:paraId="64EB27C6" w14:textId="77777777" w:rsidR="007A0B87" w:rsidRPr="00AE7F25" w:rsidRDefault="007A0B87" w:rsidP="00FE3177">
            <w:pPr>
              <w:rPr>
                <w:rFonts w:ascii="Arial Narrow" w:hAnsi="Arial Narrow"/>
                <w:b/>
                <w:color w:val="000000"/>
                <w:sz w:val="20"/>
                <w:lang w:eastAsia="en-NZ"/>
              </w:rPr>
            </w:pPr>
            <w:r w:rsidRPr="00AE7F25">
              <w:rPr>
                <w:rFonts w:ascii="Arial Narrow" w:hAnsi="Arial Narrow"/>
                <w:b/>
                <w:color w:val="000000"/>
                <w:sz w:val="20"/>
                <w:lang w:eastAsia="en-NZ"/>
              </w:rPr>
              <w:t xml:space="preserve">Prob </w:t>
            </w:r>
            <w:r>
              <w:rPr>
                <w:rFonts w:ascii="Arial Narrow" w:hAnsi="Arial Narrow"/>
                <w:b/>
                <w:color w:val="000000"/>
                <w:sz w:val="20"/>
                <w:lang w:eastAsia="en-NZ"/>
              </w:rPr>
              <w:t xml:space="preserve">&gt; </w:t>
            </w:r>
            <w:r w:rsidRPr="00AE7F25">
              <w:rPr>
                <w:rFonts w:ascii="Arial Narrow" w:hAnsi="Arial Narrow"/>
                <w:b/>
                <w:color w:val="000000"/>
                <w:sz w:val="20"/>
                <w:lang w:eastAsia="en-NZ"/>
              </w:rPr>
              <w:t xml:space="preserve"> Soft Limit (20% B</w:t>
            </w:r>
            <w:r w:rsidRPr="00AE7F25">
              <w:rPr>
                <w:rFonts w:ascii="Arial Narrow" w:hAnsi="Arial Narrow"/>
                <w:b/>
                <w:color w:val="000000"/>
                <w:sz w:val="20"/>
                <w:vertAlign w:val="subscript"/>
                <w:lang w:eastAsia="en-NZ"/>
              </w:rPr>
              <w:t>0</w:t>
            </w:r>
            <w:r w:rsidRPr="00AE7F25">
              <w:rPr>
                <w:rFonts w:ascii="Arial Narrow" w:hAnsi="Arial Narrow"/>
                <w:b/>
                <w:color w:val="000000"/>
                <w:sz w:val="20"/>
                <w:lang w:eastAsia="en-NZ"/>
              </w:rPr>
              <w:t>)</w:t>
            </w:r>
          </w:p>
        </w:tc>
        <w:tc>
          <w:tcPr>
            <w:tcW w:w="144" w:type="pct"/>
            <w:tcBorders>
              <w:top w:val="nil"/>
              <w:left w:val="single" w:sz="4" w:space="0" w:color="auto"/>
              <w:bottom w:val="nil"/>
              <w:right w:val="nil"/>
            </w:tcBorders>
            <w:shd w:val="clear" w:color="auto" w:fill="auto"/>
            <w:noWrap/>
            <w:hideMark/>
          </w:tcPr>
          <w:p w14:paraId="2C61B411" w14:textId="77777777" w:rsidR="007A0B87" w:rsidRPr="00AE7F25" w:rsidRDefault="007A0B87" w:rsidP="00FE3177">
            <w:pPr>
              <w:jc w:val="right"/>
              <w:rPr>
                <w:rFonts w:ascii="Arial Narrow" w:hAnsi="Arial Narrow"/>
                <w:color w:val="000000"/>
                <w:sz w:val="20"/>
                <w:lang w:eastAsia="en-NZ"/>
              </w:rPr>
            </w:pPr>
          </w:p>
        </w:tc>
        <w:tc>
          <w:tcPr>
            <w:tcW w:w="837" w:type="pct"/>
            <w:tcBorders>
              <w:top w:val="nil"/>
              <w:left w:val="nil"/>
              <w:bottom w:val="nil"/>
              <w:right w:val="nil"/>
            </w:tcBorders>
            <w:shd w:val="clear" w:color="auto" w:fill="auto"/>
            <w:noWrap/>
            <w:hideMark/>
          </w:tcPr>
          <w:p w14:paraId="3B45C18C"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54" w:type="pct"/>
            <w:tcBorders>
              <w:top w:val="nil"/>
              <w:left w:val="nil"/>
              <w:bottom w:val="nil"/>
              <w:right w:val="nil"/>
            </w:tcBorders>
            <w:shd w:val="clear" w:color="auto" w:fill="auto"/>
            <w:noWrap/>
            <w:hideMark/>
          </w:tcPr>
          <w:p w14:paraId="7E1EFBBC"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19" w:type="pct"/>
            <w:tcBorders>
              <w:top w:val="nil"/>
              <w:left w:val="nil"/>
              <w:bottom w:val="nil"/>
              <w:right w:val="nil"/>
            </w:tcBorders>
            <w:shd w:val="clear" w:color="auto" w:fill="auto"/>
            <w:noWrap/>
            <w:hideMark/>
          </w:tcPr>
          <w:p w14:paraId="05AC6060"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c>
          <w:tcPr>
            <w:tcW w:w="819" w:type="pct"/>
            <w:tcBorders>
              <w:top w:val="nil"/>
              <w:left w:val="nil"/>
              <w:bottom w:val="nil"/>
              <w:right w:val="nil"/>
            </w:tcBorders>
            <w:shd w:val="clear" w:color="auto" w:fill="auto"/>
            <w:noWrap/>
            <w:hideMark/>
          </w:tcPr>
          <w:p w14:paraId="40F9E6C4"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1.00</w:t>
            </w:r>
          </w:p>
        </w:tc>
      </w:tr>
      <w:tr w:rsidR="007A0B87" w:rsidRPr="00AE7F25" w14:paraId="76363D47" w14:textId="77777777" w:rsidTr="004249D9">
        <w:trPr>
          <w:trHeight w:val="280"/>
        </w:trPr>
        <w:tc>
          <w:tcPr>
            <w:tcW w:w="1526" w:type="pct"/>
            <w:tcBorders>
              <w:top w:val="nil"/>
              <w:left w:val="nil"/>
              <w:bottom w:val="single" w:sz="4" w:space="0" w:color="auto"/>
              <w:right w:val="single" w:sz="4" w:space="0" w:color="auto"/>
            </w:tcBorders>
            <w:shd w:val="clear" w:color="auto" w:fill="auto"/>
            <w:noWrap/>
            <w:hideMark/>
          </w:tcPr>
          <w:p w14:paraId="5AE76247" w14:textId="77777777" w:rsidR="007A0B87" w:rsidRPr="00AE7F25" w:rsidRDefault="007A0B87" w:rsidP="00FE3177">
            <w:pPr>
              <w:rPr>
                <w:rFonts w:ascii="Arial Narrow" w:hAnsi="Arial Narrow"/>
                <w:b/>
                <w:color w:val="000000"/>
                <w:sz w:val="20"/>
                <w:lang w:eastAsia="en-NZ"/>
              </w:rPr>
            </w:pPr>
            <w:r w:rsidRPr="00AE7F25">
              <w:rPr>
                <w:rFonts w:ascii="Arial Narrow" w:hAnsi="Arial Narrow"/>
                <w:b/>
                <w:color w:val="000000"/>
                <w:sz w:val="20"/>
                <w:lang w:eastAsia="en-NZ"/>
              </w:rPr>
              <w:t>Prob &gt; Target (40% B</w:t>
            </w:r>
            <w:r w:rsidRPr="00AE7F25">
              <w:rPr>
                <w:rFonts w:ascii="Arial Narrow" w:hAnsi="Arial Narrow"/>
                <w:b/>
                <w:color w:val="000000"/>
                <w:sz w:val="20"/>
                <w:vertAlign w:val="subscript"/>
                <w:lang w:eastAsia="en-NZ"/>
              </w:rPr>
              <w:t>0</w:t>
            </w:r>
            <w:r w:rsidRPr="00AE7F25">
              <w:rPr>
                <w:rFonts w:ascii="Arial Narrow" w:hAnsi="Arial Narrow"/>
                <w:b/>
                <w:color w:val="000000"/>
                <w:sz w:val="20"/>
                <w:lang w:eastAsia="en-NZ"/>
              </w:rPr>
              <w:t>)</w:t>
            </w:r>
          </w:p>
        </w:tc>
        <w:tc>
          <w:tcPr>
            <w:tcW w:w="144" w:type="pct"/>
            <w:tcBorders>
              <w:top w:val="nil"/>
              <w:left w:val="single" w:sz="4" w:space="0" w:color="auto"/>
              <w:bottom w:val="single" w:sz="4" w:space="0" w:color="auto"/>
              <w:right w:val="nil"/>
            </w:tcBorders>
            <w:shd w:val="clear" w:color="auto" w:fill="auto"/>
            <w:noWrap/>
            <w:hideMark/>
          </w:tcPr>
          <w:p w14:paraId="79B2312E" w14:textId="77777777" w:rsidR="007A0B87" w:rsidRPr="00AE7F25" w:rsidRDefault="007A0B87" w:rsidP="00FE3177">
            <w:pPr>
              <w:jc w:val="right"/>
              <w:rPr>
                <w:rFonts w:ascii="Arial Narrow" w:hAnsi="Arial Narrow"/>
                <w:color w:val="000000"/>
                <w:sz w:val="20"/>
                <w:lang w:eastAsia="en-NZ"/>
              </w:rPr>
            </w:pPr>
          </w:p>
        </w:tc>
        <w:tc>
          <w:tcPr>
            <w:tcW w:w="837" w:type="pct"/>
            <w:tcBorders>
              <w:top w:val="nil"/>
              <w:left w:val="nil"/>
              <w:bottom w:val="single" w:sz="4" w:space="0" w:color="auto"/>
              <w:right w:val="nil"/>
            </w:tcBorders>
            <w:shd w:val="clear" w:color="auto" w:fill="auto"/>
            <w:noWrap/>
            <w:hideMark/>
          </w:tcPr>
          <w:p w14:paraId="4415A76C" w14:textId="77777777" w:rsidR="007A0B87" w:rsidRPr="00AE7F25" w:rsidRDefault="007A0B87" w:rsidP="00FE3177">
            <w:pPr>
              <w:jc w:val="right"/>
              <w:rPr>
                <w:rFonts w:ascii="Arial Narrow" w:hAnsi="Arial Narrow"/>
                <w:color w:val="000000"/>
                <w:sz w:val="20"/>
                <w:lang w:eastAsia="en-NZ"/>
              </w:rPr>
            </w:pPr>
            <w:r w:rsidRPr="00AE7F25">
              <w:rPr>
                <w:rFonts w:ascii="Arial Narrow" w:hAnsi="Arial Narrow"/>
                <w:color w:val="000000"/>
                <w:sz w:val="20"/>
                <w:lang w:eastAsia="en-NZ"/>
              </w:rPr>
              <w:t>0.99</w:t>
            </w:r>
          </w:p>
        </w:tc>
        <w:tc>
          <w:tcPr>
            <w:tcW w:w="854" w:type="pct"/>
            <w:tcBorders>
              <w:top w:val="nil"/>
              <w:left w:val="nil"/>
              <w:bottom w:val="single" w:sz="4" w:space="0" w:color="auto"/>
              <w:right w:val="nil"/>
            </w:tcBorders>
            <w:shd w:val="clear" w:color="auto" w:fill="auto"/>
            <w:noWrap/>
            <w:hideMark/>
          </w:tcPr>
          <w:p w14:paraId="0DC4C1DD" w14:textId="77777777" w:rsidR="007A0B87" w:rsidRPr="00AE7F25" w:rsidRDefault="007A0B87" w:rsidP="00FE3177">
            <w:pPr>
              <w:jc w:val="right"/>
              <w:rPr>
                <w:rFonts w:ascii="Arial Narrow" w:hAnsi="Arial Narrow"/>
                <w:color w:val="000000"/>
                <w:sz w:val="20"/>
                <w:lang w:eastAsia="en-NZ"/>
              </w:rPr>
            </w:pPr>
            <w:r w:rsidRPr="00AE7F25">
              <w:rPr>
                <w:rFonts w:ascii="Arial Narrow" w:hAnsi="Arial Narrow"/>
                <w:color w:val="000000"/>
                <w:sz w:val="20"/>
                <w:lang w:eastAsia="en-NZ"/>
              </w:rPr>
              <w:t>0.99</w:t>
            </w:r>
          </w:p>
        </w:tc>
        <w:tc>
          <w:tcPr>
            <w:tcW w:w="819" w:type="pct"/>
            <w:tcBorders>
              <w:top w:val="nil"/>
              <w:left w:val="nil"/>
              <w:bottom w:val="single" w:sz="4" w:space="0" w:color="auto"/>
              <w:right w:val="nil"/>
            </w:tcBorders>
            <w:shd w:val="clear" w:color="auto" w:fill="auto"/>
            <w:noWrap/>
            <w:hideMark/>
          </w:tcPr>
          <w:p w14:paraId="504DF6C7" w14:textId="77777777" w:rsidR="007A0B87" w:rsidRPr="00AE7F25" w:rsidRDefault="007A0B87" w:rsidP="00FE3177">
            <w:pPr>
              <w:jc w:val="right"/>
              <w:rPr>
                <w:rFonts w:ascii="Arial Narrow" w:hAnsi="Arial Narrow"/>
                <w:color w:val="000000"/>
                <w:sz w:val="20"/>
                <w:lang w:eastAsia="en-NZ"/>
              </w:rPr>
            </w:pPr>
            <w:r w:rsidRPr="00AE7F25">
              <w:rPr>
                <w:rFonts w:ascii="Arial Narrow" w:hAnsi="Arial Narrow"/>
                <w:color w:val="000000"/>
                <w:sz w:val="20"/>
                <w:lang w:eastAsia="en-NZ"/>
              </w:rPr>
              <w:t>0.99</w:t>
            </w:r>
          </w:p>
        </w:tc>
        <w:tc>
          <w:tcPr>
            <w:tcW w:w="819" w:type="pct"/>
            <w:tcBorders>
              <w:top w:val="nil"/>
              <w:left w:val="nil"/>
              <w:bottom w:val="single" w:sz="4" w:space="0" w:color="auto"/>
              <w:right w:val="nil"/>
            </w:tcBorders>
            <w:shd w:val="clear" w:color="auto" w:fill="auto"/>
            <w:noWrap/>
            <w:hideMark/>
          </w:tcPr>
          <w:p w14:paraId="5A0112AC" w14:textId="77777777" w:rsidR="007A0B87" w:rsidRPr="00AE7F25" w:rsidRDefault="007A0B87" w:rsidP="00FE3177">
            <w:pPr>
              <w:jc w:val="right"/>
              <w:rPr>
                <w:rFonts w:ascii="Arial Narrow" w:hAnsi="Arial Narrow"/>
                <w:color w:val="000000"/>
                <w:sz w:val="20"/>
                <w:lang w:eastAsia="en-NZ"/>
              </w:rPr>
            </w:pPr>
            <w:r w:rsidRPr="00AE7F25">
              <w:rPr>
                <w:rFonts w:ascii="Arial Narrow" w:hAnsi="Arial Narrow"/>
                <w:color w:val="000000"/>
                <w:sz w:val="20"/>
                <w:lang w:eastAsia="en-NZ"/>
              </w:rPr>
              <w:t>0.99</w:t>
            </w:r>
          </w:p>
        </w:tc>
      </w:tr>
      <w:tr w:rsidR="007A0B87" w:rsidRPr="00AE7F25" w14:paraId="1D1BD58F" w14:textId="77777777" w:rsidTr="004249D9">
        <w:trPr>
          <w:trHeight w:val="280"/>
        </w:trPr>
        <w:tc>
          <w:tcPr>
            <w:tcW w:w="1526" w:type="pct"/>
            <w:tcBorders>
              <w:top w:val="single" w:sz="4" w:space="0" w:color="auto"/>
              <w:left w:val="nil"/>
              <w:bottom w:val="single" w:sz="4" w:space="0" w:color="auto"/>
              <w:right w:val="single" w:sz="4" w:space="0" w:color="auto"/>
            </w:tcBorders>
            <w:shd w:val="clear" w:color="auto" w:fill="auto"/>
            <w:noWrap/>
          </w:tcPr>
          <w:p w14:paraId="19D9C31B" w14:textId="77777777" w:rsidR="007A0B87" w:rsidRPr="00735460" w:rsidRDefault="007A0B87" w:rsidP="00FE3177">
            <w:pPr>
              <w:rPr>
                <w:rFonts w:ascii="Arial Narrow" w:hAnsi="Arial Narrow"/>
                <w:b/>
                <w:color w:val="000000"/>
                <w:sz w:val="20"/>
                <w:lang w:eastAsia="en-NZ"/>
              </w:rPr>
            </w:pPr>
            <w:r w:rsidRPr="00AE7F25">
              <w:rPr>
                <w:rFonts w:ascii="Arial Narrow" w:hAnsi="Arial Narrow"/>
                <w:b/>
                <w:color w:val="000000"/>
                <w:sz w:val="20"/>
                <w:lang w:eastAsia="en-NZ"/>
              </w:rPr>
              <w:t>B</w:t>
            </w:r>
            <w:r>
              <w:rPr>
                <w:rFonts w:ascii="Arial Narrow" w:hAnsi="Arial Narrow"/>
                <w:b/>
                <w:color w:val="000000"/>
                <w:sz w:val="20"/>
                <w:vertAlign w:val="subscript"/>
                <w:lang w:eastAsia="en-NZ"/>
              </w:rPr>
              <w:t>2021</w:t>
            </w:r>
            <w:r>
              <w:rPr>
                <w:rFonts w:ascii="Arial Narrow" w:hAnsi="Arial Narrow"/>
                <w:b/>
                <w:color w:val="000000"/>
                <w:sz w:val="20"/>
                <w:lang w:eastAsia="en-NZ"/>
              </w:rPr>
              <w:t>/</w:t>
            </w:r>
            <w:r w:rsidRPr="00AE7F25">
              <w:rPr>
                <w:rFonts w:ascii="Arial Narrow" w:hAnsi="Arial Narrow"/>
                <w:b/>
                <w:color w:val="000000"/>
                <w:sz w:val="20"/>
                <w:lang w:eastAsia="en-NZ"/>
              </w:rPr>
              <w:t xml:space="preserve"> B</w:t>
            </w:r>
            <w:r w:rsidRPr="00AE7F25">
              <w:rPr>
                <w:rFonts w:ascii="Arial Narrow" w:hAnsi="Arial Narrow"/>
                <w:b/>
                <w:color w:val="000000"/>
                <w:sz w:val="20"/>
                <w:vertAlign w:val="subscript"/>
                <w:lang w:eastAsia="en-NZ"/>
              </w:rPr>
              <w:t>0</w:t>
            </w:r>
            <w:r w:rsidR="00735460">
              <w:rPr>
                <w:rFonts w:ascii="Arial Narrow" w:hAnsi="Arial Narrow"/>
                <w:b/>
                <w:color w:val="000000"/>
                <w:sz w:val="20"/>
                <w:vertAlign w:val="subscript"/>
                <w:lang w:eastAsia="en-NZ"/>
              </w:rPr>
              <w:t xml:space="preserve"> </w:t>
            </w:r>
            <w:r w:rsidR="00735460">
              <w:rPr>
                <w:rFonts w:ascii="Arial Narrow" w:hAnsi="Arial Narrow"/>
                <w:b/>
                <w:color w:val="000000"/>
                <w:sz w:val="20"/>
                <w:lang w:eastAsia="en-NZ"/>
              </w:rPr>
              <w:t>*100</w:t>
            </w:r>
          </w:p>
        </w:tc>
        <w:tc>
          <w:tcPr>
            <w:tcW w:w="144" w:type="pct"/>
            <w:tcBorders>
              <w:top w:val="single" w:sz="4" w:space="0" w:color="auto"/>
              <w:left w:val="single" w:sz="4" w:space="0" w:color="auto"/>
              <w:bottom w:val="single" w:sz="4" w:space="0" w:color="auto"/>
              <w:right w:val="nil"/>
            </w:tcBorders>
            <w:shd w:val="clear" w:color="auto" w:fill="auto"/>
            <w:noWrap/>
          </w:tcPr>
          <w:p w14:paraId="521EB574" w14:textId="77777777" w:rsidR="007A0B87" w:rsidRPr="00AE7F25" w:rsidRDefault="007A0B87" w:rsidP="00FE3177">
            <w:pPr>
              <w:jc w:val="right"/>
              <w:rPr>
                <w:rFonts w:ascii="Arial Narrow" w:hAnsi="Arial Narrow"/>
                <w:color w:val="000000"/>
                <w:sz w:val="20"/>
                <w:lang w:eastAsia="en-NZ"/>
              </w:rPr>
            </w:pPr>
          </w:p>
        </w:tc>
        <w:tc>
          <w:tcPr>
            <w:tcW w:w="837" w:type="pct"/>
            <w:tcBorders>
              <w:top w:val="single" w:sz="4" w:space="0" w:color="auto"/>
              <w:left w:val="nil"/>
              <w:bottom w:val="single" w:sz="4" w:space="0" w:color="auto"/>
              <w:right w:val="nil"/>
            </w:tcBorders>
            <w:shd w:val="clear" w:color="auto" w:fill="auto"/>
            <w:noWrap/>
          </w:tcPr>
          <w:p w14:paraId="7F240A63"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93%</w:t>
            </w:r>
          </w:p>
        </w:tc>
        <w:tc>
          <w:tcPr>
            <w:tcW w:w="854" w:type="pct"/>
            <w:tcBorders>
              <w:top w:val="single" w:sz="4" w:space="0" w:color="auto"/>
              <w:left w:val="nil"/>
              <w:bottom w:val="single" w:sz="4" w:space="0" w:color="auto"/>
              <w:right w:val="nil"/>
            </w:tcBorders>
            <w:shd w:val="clear" w:color="auto" w:fill="auto"/>
            <w:noWrap/>
          </w:tcPr>
          <w:p w14:paraId="24AF83B5"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92%</w:t>
            </w:r>
          </w:p>
        </w:tc>
        <w:tc>
          <w:tcPr>
            <w:tcW w:w="819" w:type="pct"/>
            <w:tcBorders>
              <w:top w:val="single" w:sz="4" w:space="0" w:color="auto"/>
              <w:left w:val="nil"/>
              <w:bottom w:val="single" w:sz="4" w:space="0" w:color="auto"/>
              <w:right w:val="nil"/>
            </w:tcBorders>
            <w:shd w:val="clear" w:color="auto" w:fill="auto"/>
            <w:noWrap/>
          </w:tcPr>
          <w:p w14:paraId="7C5C8773"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91%</w:t>
            </w:r>
          </w:p>
        </w:tc>
        <w:tc>
          <w:tcPr>
            <w:tcW w:w="819" w:type="pct"/>
            <w:tcBorders>
              <w:top w:val="single" w:sz="4" w:space="0" w:color="auto"/>
              <w:left w:val="nil"/>
              <w:bottom w:val="single" w:sz="4" w:space="0" w:color="auto"/>
              <w:right w:val="nil"/>
            </w:tcBorders>
            <w:shd w:val="clear" w:color="auto" w:fill="auto"/>
            <w:noWrap/>
          </w:tcPr>
          <w:p w14:paraId="04C538AC" w14:textId="77777777" w:rsidR="007A0B87" w:rsidRPr="00AE7F25" w:rsidRDefault="007A0B87" w:rsidP="00FE3177">
            <w:pPr>
              <w:jc w:val="right"/>
              <w:rPr>
                <w:rFonts w:ascii="Arial Narrow" w:hAnsi="Arial Narrow"/>
                <w:color w:val="000000"/>
                <w:sz w:val="20"/>
                <w:lang w:eastAsia="en-NZ"/>
              </w:rPr>
            </w:pPr>
            <w:r>
              <w:rPr>
                <w:rFonts w:ascii="Arial Narrow" w:hAnsi="Arial Narrow"/>
                <w:color w:val="000000"/>
                <w:sz w:val="20"/>
                <w:lang w:eastAsia="en-NZ"/>
              </w:rPr>
              <w:t>88%</w:t>
            </w:r>
          </w:p>
        </w:tc>
      </w:tr>
    </w:tbl>
    <w:p w14:paraId="4FDC95D5" w14:textId="77777777" w:rsidR="00DD150E" w:rsidRDefault="00DD150E" w:rsidP="00DD150E">
      <w:pPr>
        <w:pStyle w:val="ListParagraph"/>
        <w:ind w:left="0"/>
      </w:pPr>
    </w:p>
    <w:p w14:paraId="5C6CDFC6" w14:textId="77777777" w:rsidR="000675A0" w:rsidRDefault="004960ED" w:rsidP="000675A0">
      <w:pPr>
        <w:pStyle w:val="Heading2"/>
      </w:pPr>
      <w:bookmarkStart w:id="44" w:name="_Toc453059212"/>
      <w:r>
        <w:t>O</w:t>
      </w:r>
      <w:r w:rsidR="000675A0">
        <w:t>ption 1</w:t>
      </w:r>
      <w:r w:rsidR="00DD150E">
        <w:t xml:space="preserve"> (Status quo)</w:t>
      </w:r>
      <w:bookmarkEnd w:id="44"/>
    </w:p>
    <w:p w14:paraId="57D18F23" w14:textId="77777777" w:rsidR="00DD150E" w:rsidRPr="006C4266" w:rsidRDefault="00DD150E" w:rsidP="00DD150E">
      <w:r w:rsidRPr="003944A1">
        <w:t xml:space="preserve">Option 1 proposes the TAC remains at the current level of 140 tonnes, with a 133 tonne TACC, and a seven tonne allowance for other sources of fishing-related mortality. </w:t>
      </w:r>
    </w:p>
    <w:p w14:paraId="1D6D143F" w14:textId="77777777" w:rsidR="00DD150E" w:rsidRDefault="00DD150E" w:rsidP="00DD150E"/>
    <w:p w14:paraId="7CAE8941" w14:textId="77777777" w:rsidR="00DD150E" w:rsidRDefault="00DD150E" w:rsidP="00DD150E">
      <w:r w:rsidRPr="008C2891">
        <w:t xml:space="preserve">Last year 142 tonnes of scampi were </w:t>
      </w:r>
      <w:r>
        <w:t>landed</w:t>
      </w:r>
      <w:r w:rsidR="00735460">
        <w:t xml:space="preserve"> from SCI 2</w:t>
      </w:r>
      <w:r>
        <w:t>. Given</w:t>
      </w:r>
      <w:r w:rsidRPr="008C2891">
        <w:t xml:space="preserve"> an estimate</w:t>
      </w:r>
      <w:r>
        <w:t>d</w:t>
      </w:r>
      <w:r w:rsidRPr="008C2891">
        <w:t xml:space="preserve"> </w:t>
      </w:r>
      <w:r>
        <w:t>export value</w:t>
      </w:r>
      <w:r w:rsidRPr="008C2891">
        <w:t xml:space="preserve"> of $32.88</w:t>
      </w:r>
      <w:r>
        <w:t xml:space="preserve">/kg </w:t>
      </w:r>
      <w:r w:rsidRPr="008C2891">
        <w:t>this</w:t>
      </w:r>
      <w:r>
        <w:t xml:space="preserve"> resulted in approximately $4.67 million</w:t>
      </w:r>
      <w:r w:rsidRPr="008C2891">
        <w:t xml:space="preserve"> in export revenue.</w:t>
      </w:r>
      <w:r w:rsidRPr="008C2891">
        <w:rPr>
          <w:rStyle w:val="FootnoteReference"/>
          <w:szCs w:val="24"/>
        </w:rPr>
        <w:footnoteReference w:id="4"/>
      </w:r>
      <w:r w:rsidRPr="008C2891">
        <w:t xml:space="preserve"> </w:t>
      </w:r>
      <w:r w:rsidRPr="003944A1">
        <w:t xml:space="preserve">Projections indicate that with catch levels at the current TACC, the biomass of the stock will stay above the target </w:t>
      </w:r>
      <w:r>
        <w:t>until 2021 with 99% probability.</w:t>
      </w:r>
    </w:p>
    <w:p w14:paraId="4ED470AF" w14:textId="77777777" w:rsidR="00400023" w:rsidRDefault="00400023" w:rsidP="00DD150E"/>
    <w:p w14:paraId="46F3BCF8" w14:textId="77777777" w:rsidR="00400023" w:rsidRDefault="000308AC" w:rsidP="00400023">
      <w:pPr>
        <w:pStyle w:val="Heading2"/>
      </w:pPr>
      <w:bookmarkStart w:id="45" w:name="_Toc453059213"/>
      <w:r>
        <w:t>O</w:t>
      </w:r>
      <w:r w:rsidR="00400023">
        <w:t>ption 2</w:t>
      </w:r>
      <w:bookmarkEnd w:id="45"/>
    </w:p>
    <w:p w14:paraId="0FA5564E" w14:textId="77777777" w:rsidR="000C4E63" w:rsidRDefault="000C4E63" w:rsidP="000C4E63">
      <w:pPr>
        <w:rPr>
          <w:szCs w:val="24"/>
        </w:rPr>
      </w:pPr>
      <w:r>
        <w:t xml:space="preserve">Under this option, the TAC would be increased to 161 tonnes and the TACC would be increased to 153 tonnes (a 15% increase), with an eight tonne </w:t>
      </w:r>
      <w:r w:rsidRPr="003944A1">
        <w:rPr>
          <w:szCs w:val="24"/>
        </w:rPr>
        <w:t>allowance for other sources of fishing-related mortality</w:t>
      </w:r>
      <w:r>
        <w:rPr>
          <w:szCs w:val="24"/>
        </w:rPr>
        <w:t>.</w:t>
      </w:r>
    </w:p>
    <w:p w14:paraId="54ECAA81" w14:textId="77777777" w:rsidR="000C4E63" w:rsidRDefault="000C4E63" w:rsidP="000C4E63"/>
    <w:p w14:paraId="1655EB3C" w14:textId="77777777" w:rsidR="000C4E63" w:rsidRPr="00BF5FCF" w:rsidRDefault="000C4E63" w:rsidP="000C4E63">
      <w:pPr>
        <w:rPr>
          <w:szCs w:val="24"/>
        </w:rPr>
      </w:pPr>
      <w:r>
        <w:rPr>
          <w:szCs w:val="24"/>
        </w:rPr>
        <w:t xml:space="preserve">Based on an estimate export price of $32.88/kg, an increase of 20 tonnes may result in an additional $657,700 in export revenue. </w:t>
      </w:r>
      <w:r w:rsidRPr="006C4266">
        <w:rPr>
          <w:szCs w:val="24"/>
        </w:rPr>
        <w:t>Projections</w:t>
      </w:r>
      <w:r>
        <w:rPr>
          <w:szCs w:val="24"/>
        </w:rPr>
        <w:t xml:space="preserve"> indicate that with a TAC of 161</w:t>
      </w:r>
      <w:r w:rsidRPr="006C4266">
        <w:rPr>
          <w:szCs w:val="24"/>
        </w:rPr>
        <w:t xml:space="preserve"> tonnes, the biomass of the stock will remain above the target</w:t>
      </w:r>
      <w:r>
        <w:rPr>
          <w:szCs w:val="24"/>
        </w:rPr>
        <w:t xml:space="preserve"> until 2021 with 99% probability.</w:t>
      </w:r>
    </w:p>
    <w:p w14:paraId="792E2480" w14:textId="77777777" w:rsidR="000C4E63" w:rsidRDefault="000C4E63" w:rsidP="000C4E63"/>
    <w:p w14:paraId="7A3B3C2E" w14:textId="34E58E04" w:rsidR="000C4E63" w:rsidRDefault="000C4E63" w:rsidP="000C4E63">
      <w:r>
        <w:t>Option 2</w:t>
      </w:r>
      <w:r w:rsidR="00C53863">
        <w:t xml:space="preserve"> and 3 </w:t>
      </w:r>
      <w:r>
        <w:t xml:space="preserve">would </w:t>
      </w:r>
      <w:r w:rsidR="000B01FF">
        <w:t xml:space="preserve">likely </w:t>
      </w:r>
      <w:r>
        <w:t>result in increased scampi fishing effort in area 2</w:t>
      </w:r>
      <w:r w:rsidR="000B01FF">
        <w:t>.</w:t>
      </w:r>
      <w:r>
        <w:t xml:space="preserve"> </w:t>
      </w:r>
      <w:r w:rsidR="000B01FF">
        <w:t xml:space="preserve">Any potential increase in fishing effort </w:t>
      </w:r>
      <w:r>
        <w:t xml:space="preserve">is likely to be concentrated in areas that have been previously fished, </w:t>
      </w:r>
      <w:r w:rsidR="005F12DB">
        <w:t xml:space="preserve">and any </w:t>
      </w:r>
      <w:r>
        <w:t>further benthic impacts</w:t>
      </w:r>
      <w:r w:rsidR="005F12DB">
        <w:t xml:space="preserve"> are likely to be limited</w:t>
      </w:r>
      <w:r>
        <w:t xml:space="preserve">. </w:t>
      </w:r>
    </w:p>
    <w:p w14:paraId="4D80B050" w14:textId="77777777" w:rsidR="000C4E63" w:rsidRDefault="000C4E63" w:rsidP="000C4E63"/>
    <w:p w14:paraId="5CF8D3CA" w14:textId="77777777" w:rsidR="000C4E63" w:rsidRDefault="000C4E63" w:rsidP="000C4E63">
      <w:r>
        <w:t xml:space="preserve">Increased fishing effort under the proposed options may also increase interactions with protected species. Mitigation measures to reduce seabird captures as part of each vessels’ VMP will continue to be monitored by MPI and any non-adherence will be addressed in collaboration with DWG. Capture rates will continue to be monitored by MPI throughout the year, to ensure increased effort is not having an undue negative impact on these species. </w:t>
      </w:r>
    </w:p>
    <w:p w14:paraId="3DD7ED1E" w14:textId="77777777" w:rsidR="00045D10" w:rsidRDefault="00045D10" w:rsidP="000C4E63"/>
    <w:p w14:paraId="50E1C758" w14:textId="77777777" w:rsidR="00400023" w:rsidRDefault="000308AC" w:rsidP="00400023">
      <w:pPr>
        <w:pStyle w:val="Heading2"/>
      </w:pPr>
      <w:bookmarkStart w:id="46" w:name="_Toc453059214"/>
      <w:r>
        <w:t>O</w:t>
      </w:r>
      <w:r w:rsidR="00400023">
        <w:t>ption 3</w:t>
      </w:r>
      <w:bookmarkEnd w:id="46"/>
    </w:p>
    <w:p w14:paraId="00A96871" w14:textId="77777777" w:rsidR="000C4E63" w:rsidRDefault="000C4E63" w:rsidP="000C4E63">
      <w:pPr>
        <w:rPr>
          <w:szCs w:val="24"/>
        </w:rPr>
      </w:pPr>
      <w:bookmarkStart w:id="47" w:name="_Toc399138995"/>
      <w:r>
        <w:t xml:space="preserve">Under this option, the TAC would be increased to 182 tonnes and the TACC would be increased to 173 tonnes (a 30% increase), with a nine tonne </w:t>
      </w:r>
      <w:r w:rsidRPr="003944A1">
        <w:rPr>
          <w:szCs w:val="24"/>
        </w:rPr>
        <w:t>allowance for other sources of fishing-related mortality</w:t>
      </w:r>
      <w:r>
        <w:rPr>
          <w:szCs w:val="24"/>
        </w:rPr>
        <w:t>.</w:t>
      </w:r>
    </w:p>
    <w:p w14:paraId="7E1878FC" w14:textId="77777777" w:rsidR="000C4E63" w:rsidRDefault="000C4E63" w:rsidP="000C4E63"/>
    <w:p w14:paraId="0BE655C2" w14:textId="77777777" w:rsidR="000C4E63" w:rsidRDefault="000C4E63" w:rsidP="000C4E63">
      <w:pPr>
        <w:rPr>
          <w:szCs w:val="24"/>
        </w:rPr>
      </w:pPr>
      <w:r>
        <w:rPr>
          <w:szCs w:val="24"/>
        </w:rPr>
        <w:t xml:space="preserve">Based on an estimate export price of $32.88/kg, an increase of 40 tonnes may result in an additional $1.3 million in export revenue. </w:t>
      </w:r>
      <w:r w:rsidRPr="006C4266">
        <w:rPr>
          <w:szCs w:val="24"/>
        </w:rPr>
        <w:t>Projections</w:t>
      </w:r>
      <w:r>
        <w:rPr>
          <w:szCs w:val="24"/>
        </w:rPr>
        <w:t xml:space="preserve"> indicate that with a TAC of 182</w:t>
      </w:r>
      <w:r w:rsidRPr="006C4266">
        <w:rPr>
          <w:szCs w:val="24"/>
        </w:rPr>
        <w:t xml:space="preserve"> tonnes, the biomass of the stock will remain above the target</w:t>
      </w:r>
      <w:r>
        <w:rPr>
          <w:szCs w:val="24"/>
        </w:rPr>
        <w:t xml:space="preserve"> until 2021 with 99% probability.</w:t>
      </w:r>
    </w:p>
    <w:p w14:paraId="7F6BCB52" w14:textId="77777777" w:rsidR="000C4E63" w:rsidRDefault="000C4E63" w:rsidP="000C4E63"/>
    <w:p w14:paraId="6564132E" w14:textId="77777777" w:rsidR="00471C3D" w:rsidRDefault="00471C3D" w:rsidP="00471C3D">
      <w:pPr>
        <w:pStyle w:val="Heading1"/>
      </w:pPr>
      <w:bookmarkStart w:id="48" w:name="_Toc453059215"/>
      <w:r w:rsidRPr="00933151">
        <w:t>Other Matters</w:t>
      </w:r>
      <w:bookmarkEnd w:id="47"/>
      <w:bookmarkEnd w:id="48"/>
    </w:p>
    <w:p w14:paraId="4B40B86E" w14:textId="77777777" w:rsidR="00EF1C8E" w:rsidRDefault="000308AC" w:rsidP="00EF1C8E">
      <w:pPr>
        <w:pStyle w:val="Heading2"/>
      </w:pPr>
      <w:bookmarkStart w:id="49" w:name="_Toc453059216"/>
      <w:r>
        <w:t>Deemed value r</w:t>
      </w:r>
      <w:r w:rsidR="00EF1C8E">
        <w:t>ates</w:t>
      </w:r>
      <w:bookmarkEnd w:id="49"/>
    </w:p>
    <w:p w14:paraId="0CF0434F" w14:textId="77777777" w:rsidR="000C4E63" w:rsidRDefault="000C4E63" w:rsidP="000C4E63">
      <w:bookmarkStart w:id="50" w:name="_Toc399138996"/>
      <w:r w:rsidRPr="00BF7860">
        <w:t xml:space="preserve">Deemed values are an economic tool that </w:t>
      </w:r>
      <w:r>
        <w:t>provides incentives for</w:t>
      </w:r>
      <w:r w:rsidRPr="00BF7860">
        <w:t xml:space="preserve"> commercial fishers not to catch i</w:t>
      </w:r>
      <w:r>
        <w:t>n excess of their individual annual catch entitlement (ACE)</w:t>
      </w:r>
      <w:r w:rsidRPr="00BF7860">
        <w:t xml:space="preserve">. </w:t>
      </w:r>
      <w:r w:rsidRPr="00270102">
        <w:t xml:space="preserve">Ensuring deemed value rates are appropriately set is a fundamental principle of the </w:t>
      </w:r>
      <w:r>
        <w:t>QMS</w:t>
      </w:r>
      <w:r w:rsidRPr="00270102">
        <w:t xml:space="preserve">. </w:t>
      </w:r>
      <w:r>
        <w:t>Deemed values are reviewed whenever the</w:t>
      </w:r>
      <w:r w:rsidRPr="00270102">
        <w:t xml:space="preserve"> TAC for a stock is reviewed.</w:t>
      </w:r>
    </w:p>
    <w:p w14:paraId="7852DE06" w14:textId="77777777" w:rsidR="000C4E63" w:rsidRPr="00270102" w:rsidRDefault="000C4E63" w:rsidP="000C4E63"/>
    <w:p w14:paraId="1E1C9274" w14:textId="77777777" w:rsidR="000C4E63" w:rsidRDefault="000C4E63" w:rsidP="000C4E63">
      <w:r>
        <w:t xml:space="preserve">Current deemed value rates for all scampi stocks including SCI 2 are given in Table 4 below. </w:t>
      </w:r>
      <w:r w:rsidRPr="00BF7860">
        <w:t xml:space="preserve">MPI is not proposing to make any changes to the deemed value rates for </w:t>
      </w:r>
      <w:r>
        <w:t>scampi</w:t>
      </w:r>
      <w:r w:rsidRPr="00BF7860">
        <w:t xml:space="preserve"> at this time.</w:t>
      </w:r>
    </w:p>
    <w:p w14:paraId="42E61766" w14:textId="77777777" w:rsidR="00D92FA9" w:rsidRDefault="00D92FA9" w:rsidP="000C4E63">
      <w:pPr>
        <w:spacing w:after="120"/>
        <w:rPr>
          <w:rFonts w:ascii="Arial Narrow" w:hAnsi="Arial Narrow"/>
          <w:b/>
          <w:szCs w:val="24"/>
        </w:rPr>
      </w:pPr>
    </w:p>
    <w:p w14:paraId="1948A0F7" w14:textId="77777777" w:rsidR="000C4E63" w:rsidRPr="001A1BAC" w:rsidRDefault="000C4E63" w:rsidP="000C4E63">
      <w:pPr>
        <w:spacing w:after="120"/>
      </w:pPr>
      <w:r w:rsidRPr="005A515B">
        <w:rPr>
          <w:rFonts w:ascii="Arial Narrow" w:hAnsi="Arial Narrow"/>
          <w:b/>
          <w:szCs w:val="24"/>
        </w:rPr>
        <w:t xml:space="preserve">Table </w:t>
      </w:r>
      <w:r>
        <w:rPr>
          <w:rFonts w:ascii="Arial Narrow" w:hAnsi="Arial Narrow"/>
          <w:b/>
          <w:szCs w:val="24"/>
        </w:rPr>
        <w:t>4</w:t>
      </w:r>
      <w:r w:rsidRPr="005A515B">
        <w:rPr>
          <w:rFonts w:ascii="Arial Narrow" w:hAnsi="Arial Narrow"/>
          <w:b/>
          <w:szCs w:val="24"/>
        </w:rPr>
        <w:t xml:space="preserve">: </w:t>
      </w:r>
      <w:r>
        <w:rPr>
          <w:rFonts w:ascii="Arial Narrow" w:hAnsi="Arial Narrow"/>
          <w:b/>
          <w:szCs w:val="24"/>
        </w:rPr>
        <w:t xml:space="preserve">Current deemed value rates ($/kg) for all SCI stocks including SCI 2. </w:t>
      </w:r>
    </w:p>
    <w:tbl>
      <w:tblPr>
        <w:tblpPr w:leftFromText="180" w:rightFromText="180" w:vertAnchor="text" w:horzAnchor="margin"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934"/>
        <w:gridCol w:w="1199"/>
        <w:gridCol w:w="1201"/>
        <w:gridCol w:w="1201"/>
        <w:gridCol w:w="1199"/>
        <w:gridCol w:w="1201"/>
        <w:gridCol w:w="1201"/>
      </w:tblGrid>
      <w:tr w:rsidR="000C4E63" w14:paraId="47272A54" w14:textId="77777777" w:rsidTr="00FE3177">
        <w:trPr>
          <w:trHeight w:val="20"/>
        </w:trPr>
        <w:tc>
          <w:tcPr>
            <w:tcW w:w="515" w:type="pct"/>
            <w:vMerge w:val="restart"/>
            <w:tcBorders>
              <w:left w:val="nil"/>
              <w:right w:val="nil"/>
            </w:tcBorders>
            <w:vAlign w:val="center"/>
          </w:tcPr>
          <w:p w14:paraId="1253E9F1" w14:textId="77777777" w:rsidR="000C4E63" w:rsidRDefault="000C4E63" w:rsidP="00FE3177">
            <w:pPr>
              <w:contextualSpacing/>
              <w:rPr>
                <w:rFonts w:ascii="Arial Narrow" w:hAnsi="Arial Narrow"/>
                <w:b/>
                <w:sz w:val="20"/>
              </w:rPr>
            </w:pPr>
            <w:r>
              <w:rPr>
                <w:rFonts w:ascii="Arial Narrow" w:hAnsi="Arial Narrow"/>
                <w:b/>
                <w:sz w:val="20"/>
              </w:rPr>
              <w:t>Stock</w:t>
            </w:r>
          </w:p>
        </w:tc>
        <w:tc>
          <w:tcPr>
            <w:tcW w:w="515" w:type="pct"/>
            <w:vMerge w:val="restart"/>
            <w:tcBorders>
              <w:left w:val="nil"/>
              <w:right w:val="nil"/>
            </w:tcBorders>
            <w:vAlign w:val="center"/>
          </w:tcPr>
          <w:p w14:paraId="38427D98" w14:textId="77777777" w:rsidR="000C4E63" w:rsidRDefault="000C4E63" w:rsidP="00FE3177">
            <w:pPr>
              <w:contextualSpacing/>
              <w:rPr>
                <w:rFonts w:ascii="Arial Narrow" w:hAnsi="Arial Narrow"/>
                <w:b/>
                <w:sz w:val="20"/>
              </w:rPr>
            </w:pPr>
            <w:r>
              <w:rPr>
                <w:rFonts w:ascii="Arial Narrow" w:hAnsi="Arial Narrow"/>
                <w:b/>
                <w:sz w:val="20"/>
              </w:rPr>
              <w:t>Interim</w:t>
            </w:r>
          </w:p>
        </w:tc>
        <w:tc>
          <w:tcPr>
            <w:tcW w:w="3969" w:type="pct"/>
            <w:gridSpan w:val="6"/>
            <w:tcBorders>
              <w:left w:val="nil"/>
              <w:right w:val="nil"/>
            </w:tcBorders>
            <w:vAlign w:val="center"/>
          </w:tcPr>
          <w:p w14:paraId="69D90F27" w14:textId="77777777" w:rsidR="000C4E63" w:rsidRDefault="000C4E63" w:rsidP="00FE3177">
            <w:pPr>
              <w:contextualSpacing/>
              <w:jc w:val="center"/>
              <w:rPr>
                <w:rFonts w:ascii="Arial Narrow" w:hAnsi="Arial Narrow"/>
                <w:b/>
                <w:sz w:val="20"/>
              </w:rPr>
            </w:pPr>
            <w:r>
              <w:rPr>
                <w:rFonts w:ascii="Arial Narrow" w:hAnsi="Arial Narrow"/>
                <w:b/>
                <w:sz w:val="20"/>
              </w:rPr>
              <w:t>Annual</w:t>
            </w:r>
          </w:p>
        </w:tc>
      </w:tr>
      <w:tr w:rsidR="000C4E63" w14:paraId="66C04C68" w14:textId="77777777" w:rsidTr="00FE3177">
        <w:trPr>
          <w:trHeight w:val="20"/>
        </w:trPr>
        <w:tc>
          <w:tcPr>
            <w:tcW w:w="515" w:type="pct"/>
            <w:vMerge/>
            <w:tcBorders>
              <w:left w:val="nil"/>
              <w:bottom w:val="single" w:sz="4" w:space="0" w:color="auto"/>
              <w:right w:val="nil"/>
            </w:tcBorders>
            <w:vAlign w:val="center"/>
          </w:tcPr>
          <w:p w14:paraId="448FA637" w14:textId="77777777" w:rsidR="000C4E63" w:rsidRPr="005A515B" w:rsidRDefault="000C4E63" w:rsidP="00FE3177">
            <w:pPr>
              <w:contextualSpacing/>
              <w:rPr>
                <w:rFonts w:ascii="Arial Narrow" w:hAnsi="Arial Narrow"/>
                <w:b/>
                <w:sz w:val="20"/>
              </w:rPr>
            </w:pPr>
          </w:p>
        </w:tc>
        <w:tc>
          <w:tcPr>
            <w:tcW w:w="515" w:type="pct"/>
            <w:vMerge/>
            <w:tcBorders>
              <w:left w:val="nil"/>
              <w:bottom w:val="single" w:sz="4" w:space="0" w:color="auto"/>
              <w:right w:val="nil"/>
            </w:tcBorders>
            <w:vAlign w:val="center"/>
          </w:tcPr>
          <w:p w14:paraId="55E873AE" w14:textId="77777777" w:rsidR="000C4E63" w:rsidRPr="005A515B" w:rsidRDefault="000C4E63" w:rsidP="00FE3177">
            <w:pPr>
              <w:contextualSpacing/>
              <w:rPr>
                <w:rFonts w:ascii="Arial Narrow" w:hAnsi="Arial Narrow"/>
                <w:b/>
                <w:sz w:val="20"/>
              </w:rPr>
            </w:pPr>
          </w:p>
        </w:tc>
        <w:tc>
          <w:tcPr>
            <w:tcW w:w="661" w:type="pct"/>
            <w:tcBorders>
              <w:left w:val="nil"/>
              <w:right w:val="nil"/>
            </w:tcBorders>
            <w:vAlign w:val="center"/>
          </w:tcPr>
          <w:p w14:paraId="51AAC309" w14:textId="77777777" w:rsidR="000C4E63" w:rsidRDefault="000C4E63" w:rsidP="00FE3177">
            <w:pPr>
              <w:contextualSpacing/>
              <w:rPr>
                <w:rFonts w:ascii="Arial Narrow" w:hAnsi="Arial Narrow"/>
                <w:b/>
                <w:sz w:val="20"/>
              </w:rPr>
            </w:pPr>
            <w:r>
              <w:rPr>
                <w:rFonts w:ascii="Arial Narrow" w:hAnsi="Arial Narrow"/>
                <w:b/>
                <w:sz w:val="20"/>
              </w:rPr>
              <w:t>100-120%</w:t>
            </w:r>
          </w:p>
        </w:tc>
        <w:tc>
          <w:tcPr>
            <w:tcW w:w="662" w:type="pct"/>
            <w:tcBorders>
              <w:left w:val="nil"/>
              <w:bottom w:val="single" w:sz="4" w:space="0" w:color="auto"/>
              <w:right w:val="nil"/>
            </w:tcBorders>
            <w:vAlign w:val="center"/>
          </w:tcPr>
          <w:p w14:paraId="1F090E88" w14:textId="77777777" w:rsidR="000C4E63" w:rsidRDefault="000C4E63" w:rsidP="00FE3177">
            <w:pPr>
              <w:contextualSpacing/>
              <w:rPr>
                <w:rFonts w:ascii="Arial Narrow" w:hAnsi="Arial Narrow"/>
                <w:b/>
                <w:sz w:val="20"/>
              </w:rPr>
            </w:pPr>
            <w:r>
              <w:rPr>
                <w:rFonts w:ascii="Arial Narrow" w:hAnsi="Arial Narrow"/>
                <w:b/>
                <w:sz w:val="20"/>
              </w:rPr>
              <w:t>120-140%</w:t>
            </w:r>
          </w:p>
        </w:tc>
        <w:tc>
          <w:tcPr>
            <w:tcW w:w="662" w:type="pct"/>
            <w:tcBorders>
              <w:left w:val="nil"/>
              <w:bottom w:val="single" w:sz="4" w:space="0" w:color="auto"/>
              <w:right w:val="nil"/>
            </w:tcBorders>
            <w:vAlign w:val="center"/>
          </w:tcPr>
          <w:p w14:paraId="397F3E37" w14:textId="77777777" w:rsidR="000C4E63" w:rsidRDefault="000C4E63" w:rsidP="00FE3177">
            <w:pPr>
              <w:contextualSpacing/>
              <w:rPr>
                <w:rFonts w:ascii="Arial Narrow" w:hAnsi="Arial Narrow"/>
                <w:b/>
                <w:sz w:val="20"/>
              </w:rPr>
            </w:pPr>
            <w:r>
              <w:rPr>
                <w:rFonts w:ascii="Arial Narrow" w:hAnsi="Arial Narrow"/>
                <w:b/>
                <w:sz w:val="20"/>
              </w:rPr>
              <w:t>140-160%</w:t>
            </w:r>
          </w:p>
        </w:tc>
        <w:tc>
          <w:tcPr>
            <w:tcW w:w="661" w:type="pct"/>
            <w:tcBorders>
              <w:left w:val="nil"/>
              <w:bottom w:val="single" w:sz="4" w:space="0" w:color="auto"/>
              <w:right w:val="nil"/>
            </w:tcBorders>
            <w:vAlign w:val="center"/>
          </w:tcPr>
          <w:p w14:paraId="61829068" w14:textId="77777777" w:rsidR="000C4E63" w:rsidRDefault="000C4E63" w:rsidP="00FE3177">
            <w:pPr>
              <w:contextualSpacing/>
              <w:rPr>
                <w:rFonts w:ascii="Arial Narrow" w:hAnsi="Arial Narrow"/>
                <w:b/>
                <w:sz w:val="20"/>
              </w:rPr>
            </w:pPr>
            <w:r>
              <w:rPr>
                <w:rFonts w:ascii="Arial Narrow" w:hAnsi="Arial Narrow"/>
                <w:b/>
                <w:sz w:val="20"/>
              </w:rPr>
              <w:t>160-180%</w:t>
            </w:r>
          </w:p>
        </w:tc>
        <w:tc>
          <w:tcPr>
            <w:tcW w:w="662" w:type="pct"/>
            <w:tcBorders>
              <w:left w:val="nil"/>
              <w:bottom w:val="single" w:sz="4" w:space="0" w:color="auto"/>
              <w:right w:val="nil"/>
            </w:tcBorders>
            <w:vAlign w:val="center"/>
          </w:tcPr>
          <w:p w14:paraId="68EACA1C" w14:textId="77777777" w:rsidR="000C4E63" w:rsidRDefault="000C4E63" w:rsidP="00FE3177">
            <w:pPr>
              <w:contextualSpacing/>
              <w:rPr>
                <w:rFonts w:ascii="Arial Narrow" w:hAnsi="Arial Narrow"/>
                <w:b/>
                <w:sz w:val="20"/>
              </w:rPr>
            </w:pPr>
            <w:r>
              <w:rPr>
                <w:rFonts w:ascii="Arial Narrow" w:hAnsi="Arial Narrow"/>
                <w:b/>
                <w:sz w:val="20"/>
              </w:rPr>
              <w:t>180-200%</w:t>
            </w:r>
          </w:p>
        </w:tc>
        <w:tc>
          <w:tcPr>
            <w:tcW w:w="662" w:type="pct"/>
            <w:tcBorders>
              <w:left w:val="nil"/>
              <w:bottom w:val="single" w:sz="4" w:space="0" w:color="auto"/>
              <w:right w:val="nil"/>
            </w:tcBorders>
            <w:vAlign w:val="center"/>
          </w:tcPr>
          <w:p w14:paraId="12587655" w14:textId="77777777" w:rsidR="000C4E63" w:rsidRDefault="000C4E63" w:rsidP="00FE3177">
            <w:pPr>
              <w:contextualSpacing/>
              <w:rPr>
                <w:rFonts w:ascii="Arial Narrow" w:hAnsi="Arial Narrow"/>
                <w:b/>
                <w:sz w:val="20"/>
              </w:rPr>
            </w:pPr>
            <w:r>
              <w:rPr>
                <w:rFonts w:ascii="Arial Narrow" w:hAnsi="Arial Narrow"/>
                <w:b/>
                <w:sz w:val="20"/>
              </w:rPr>
              <w:t>200%+</w:t>
            </w:r>
          </w:p>
        </w:tc>
      </w:tr>
      <w:tr w:rsidR="000C4E63" w14:paraId="44759AE7" w14:textId="77777777" w:rsidTr="00FE3177">
        <w:trPr>
          <w:trHeight w:val="274"/>
        </w:trPr>
        <w:tc>
          <w:tcPr>
            <w:tcW w:w="515" w:type="pct"/>
            <w:tcBorders>
              <w:left w:val="nil"/>
              <w:bottom w:val="single" w:sz="4" w:space="0" w:color="auto"/>
              <w:right w:val="nil"/>
            </w:tcBorders>
            <w:vAlign w:val="center"/>
          </w:tcPr>
          <w:p w14:paraId="7A400E17" w14:textId="77777777" w:rsidR="000C4E63" w:rsidRPr="005A515B" w:rsidRDefault="000C4E63" w:rsidP="00FE3177">
            <w:pPr>
              <w:contextualSpacing/>
              <w:rPr>
                <w:rFonts w:ascii="Arial Narrow" w:hAnsi="Arial Narrow"/>
                <w:sz w:val="20"/>
              </w:rPr>
            </w:pPr>
            <w:r>
              <w:rPr>
                <w:rFonts w:ascii="Arial Narrow" w:hAnsi="Arial Narrow"/>
                <w:b/>
                <w:sz w:val="20"/>
              </w:rPr>
              <w:t>SCI - All</w:t>
            </w:r>
          </w:p>
        </w:tc>
        <w:tc>
          <w:tcPr>
            <w:tcW w:w="515" w:type="pct"/>
            <w:tcBorders>
              <w:left w:val="nil"/>
              <w:right w:val="nil"/>
            </w:tcBorders>
            <w:vAlign w:val="center"/>
          </w:tcPr>
          <w:p w14:paraId="0669802B" w14:textId="77777777" w:rsidR="000C4E63" w:rsidRPr="005A515B" w:rsidRDefault="000C4E63" w:rsidP="00FE3177">
            <w:pPr>
              <w:contextualSpacing/>
              <w:rPr>
                <w:rFonts w:ascii="Arial Narrow" w:hAnsi="Arial Narrow"/>
                <w:sz w:val="20"/>
              </w:rPr>
            </w:pPr>
            <w:r>
              <w:rPr>
                <w:rFonts w:ascii="Arial Narrow" w:hAnsi="Arial Narrow"/>
                <w:sz w:val="20"/>
              </w:rPr>
              <w:t>25.65</w:t>
            </w:r>
          </w:p>
        </w:tc>
        <w:tc>
          <w:tcPr>
            <w:tcW w:w="661" w:type="pct"/>
            <w:tcBorders>
              <w:left w:val="nil"/>
              <w:right w:val="nil"/>
            </w:tcBorders>
            <w:shd w:val="clear" w:color="auto" w:fill="auto"/>
            <w:vAlign w:val="center"/>
          </w:tcPr>
          <w:p w14:paraId="1866B62F" w14:textId="77777777" w:rsidR="000C4E63" w:rsidRDefault="000C4E63" w:rsidP="00FE3177">
            <w:pPr>
              <w:contextualSpacing/>
              <w:rPr>
                <w:rFonts w:ascii="Arial Narrow" w:hAnsi="Arial Narrow"/>
                <w:sz w:val="20"/>
              </w:rPr>
            </w:pPr>
            <w:r>
              <w:rPr>
                <w:rFonts w:ascii="Arial Narrow" w:hAnsi="Arial Narrow"/>
                <w:sz w:val="20"/>
              </w:rPr>
              <w:t>51.30</w:t>
            </w:r>
          </w:p>
        </w:tc>
        <w:tc>
          <w:tcPr>
            <w:tcW w:w="662" w:type="pct"/>
            <w:tcBorders>
              <w:left w:val="nil"/>
              <w:right w:val="nil"/>
            </w:tcBorders>
            <w:shd w:val="clear" w:color="auto" w:fill="auto"/>
            <w:vAlign w:val="center"/>
          </w:tcPr>
          <w:p w14:paraId="3767E445" w14:textId="77777777" w:rsidR="000C4E63" w:rsidRDefault="000C4E63" w:rsidP="00FE3177">
            <w:pPr>
              <w:contextualSpacing/>
              <w:rPr>
                <w:rFonts w:ascii="Arial Narrow" w:hAnsi="Arial Narrow"/>
                <w:sz w:val="20"/>
              </w:rPr>
            </w:pPr>
            <w:r>
              <w:rPr>
                <w:rFonts w:ascii="Arial Narrow" w:hAnsi="Arial Narrow"/>
                <w:sz w:val="20"/>
              </w:rPr>
              <w:t>61.56</w:t>
            </w:r>
          </w:p>
        </w:tc>
        <w:tc>
          <w:tcPr>
            <w:tcW w:w="662" w:type="pct"/>
            <w:tcBorders>
              <w:left w:val="nil"/>
              <w:right w:val="nil"/>
            </w:tcBorders>
            <w:shd w:val="clear" w:color="auto" w:fill="auto"/>
            <w:vAlign w:val="center"/>
          </w:tcPr>
          <w:p w14:paraId="27ACF193" w14:textId="77777777" w:rsidR="000C4E63" w:rsidRDefault="000C4E63" w:rsidP="00FE3177">
            <w:pPr>
              <w:contextualSpacing/>
              <w:rPr>
                <w:rFonts w:ascii="Arial Narrow" w:hAnsi="Arial Narrow"/>
                <w:sz w:val="20"/>
              </w:rPr>
            </w:pPr>
            <w:r>
              <w:rPr>
                <w:rFonts w:ascii="Arial Narrow" w:hAnsi="Arial Narrow"/>
                <w:sz w:val="20"/>
              </w:rPr>
              <w:t>71.82</w:t>
            </w:r>
          </w:p>
        </w:tc>
        <w:tc>
          <w:tcPr>
            <w:tcW w:w="661" w:type="pct"/>
            <w:tcBorders>
              <w:left w:val="nil"/>
              <w:right w:val="nil"/>
            </w:tcBorders>
            <w:shd w:val="clear" w:color="auto" w:fill="auto"/>
            <w:vAlign w:val="center"/>
          </w:tcPr>
          <w:p w14:paraId="30BC6B52" w14:textId="77777777" w:rsidR="000C4E63" w:rsidRDefault="000C4E63" w:rsidP="00FE3177">
            <w:pPr>
              <w:contextualSpacing/>
              <w:rPr>
                <w:rFonts w:ascii="Arial Narrow" w:hAnsi="Arial Narrow"/>
                <w:sz w:val="20"/>
              </w:rPr>
            </w:pPr>
            <w:r>
              <w:rPr>
                <w:rFonts w:ascii="Arial Narrow" w:hAnsi="Arial Narrow"/>
                <w:sz w:val="20"/>
              </w:rPr>
              <w:t>82.08</w:t>
            </w:r>
          </w:p>
        </w:tc>
        <w:tc>
          <w:tcPr>
            <w:tcW w:w="662" w:type="pct"/>
            <w:tcBorders>
              <w:left w:val="nil"/>
              <w:right w:val="nil"/>
            </w:tcBorders>
            <w:shd w:val="clear" w:color="auto" w:fill="auto"/>
            <w:vAlign w:val="center"/>
          </w:tcPr>
          <w:p w14:paraId="476DF73D" w14:textId="77777777" w:rsidR="000C4E63" w:rsidRDefault="000C4E63" w:rsidP="00FE3177">
            <w:pPr>
              <w:contextualSpacing/>
              <w:rPr>
                <w:rFonts w:ascii="Arial Narrow" w:hAnsi="Arial Narrow"/>
                <w:sz w:val="20"/>
              </w:rPr>
            </w:pPr>
            <w:r>
              <w:rPr>
                <w:rFonts w:ascii="Arial Narrow" w:hAnsi="Arial Narrow"/>
                <w:sz w:val="20"/>
              </w:rPr>
              <w:t>92.34</w:t>
            </w:r>
          </w:p>
        </w:tc>
        <w:tc>
          <w:tcPr>
            <w:tcW w:w="662" w:type="pct"/>
            <w:tcBorders>
              <w:left w:val="nil"/>
              <w:bottom w:val="single" w:sz="4" w:space="0" w:color="auto"/>
              <w:right w:val="nil"/>
            </w:tcBorders>
            <w:shd w:val="clear" w:color="auto" w:fill="auto"/>
            <w:vAlign w:val="center"/>
          </w:tcPr>
          <w:p w14:paraId="60B2BFD1" w14:textId="77777777" w:rsidR="000C4E63" w:rsidRDefault="000C4E63" w:rsidP="00FE3177">
            <w:pPr>
              <w:contextualSpacing/>
              <w:rPr>
                <w:rFonts w:ascii="Arial Narrow" w:hAnsi="Arial Narrow"/>
                <w:sz w:val="20"/>
              </w:rPr>
            </w:pPr>
            <w:r>
              <w:rPr>
                <w:rFonts w:ascii="Arial Narrow" w:hAnsi="Arial Narrow"/>
                <w:sz w:val="20"/>
              </w:rPr>
              <w:t>102.60</w:t>
            </w:r>
          </w:p>
        </w:tc>
      </w:tr>
    </w:tbl>
    <w:p w14:paraId="6EC471EC" w14:textId="77777777" w:rsidR="000C4E63" w:rsidRPr="00676904" w:rsidRDefault="000C4E63" w:rsidP="000C4E63"/>
    <w:p w14:paraId="01535B0E" w14:textId="77777777" w:rsidR="00471C3D" w:rsidRDefault="00471C3D" w:rsidP="00471C3D">
      <w:pPr>
        <w:pStyle w:val="Heading1"/>
      </w:pPr>
      <w:bookmarkStart w:id="51" w:name="_Toc453059217"/>
      <w:r>
        <w:lastRenderedPageBreak/>
        <w:t>Conclusion</w:t>
      </w:r>
      <w:bookmarkEnd w:id="50"/>
      <w:bookmarkEnd w:id="51"/>
      <w:r w:rsidR="00343D62">
        <w:t xml:space="preserve"> </w:t>
      </w:r>
    </w:p>
    <w:p w14:paraId="75D8E659" w14:textId="77777777" w:rsidR="000C4E63" w:rsidRDefault="000C4E63" w:rsidP="000C4E63">
      <w:r w:rsidRPr="00BF7860">
        <w:t xml:space="preserve">MPI is seeking information and views from tangata whenua and stakeholders to support the development of final advice to the Minister on management settings for </w:t>
      </w:r>
      <w:r>
        <w:t>SCI 2</w:t>
      </w:r>
      <w:r w:rsidRPr="00BF7860">
        <w:t xml:space="preserve"> for the fishing year commencing 1 </w:t>
      </w:r>
      <w:r>
        <w:t>October</w:t>
      </w:r>
      <w:r w:rsidRPr="00BF7860">
        <w:t xml:space="preserve"> 2016.</w:t>
      </w:r>
    </w:p>
    <w:p w14:paraId="1D09E25D" w14:textId="77777777" w:rsidR="000C4E63" w:rsidRDefault="000C4E63" w:rsidP="000C4E63"/>
    <w:p w14:paraId="1F3DDCBC" w14:textId="7180F883" w:rsidR="000C4E63" w:rsidRPr="00A5641D" w:rsidRDefault="000C4E63" w:rsidP="004249D9">
      <w:r>
        <w:rPr>
          <w:szCs w:val="24"/>
        </w:rPr>
        <w:t>Results from the 2016</w:t>
      </w:r>
      <w:r w:rsidRPr="00E16A9C">
        <w:rPr>
          <w:szCs w:val="24"/>
        </w:rPr>
        <w:t xml:space="preserve"> stock assessment indicate S</w:t>
      </w:r>
      <w:r>
        <w:rPr>
          <w:szCs w:val="24"/>
        </w:rPr>
        <w:t>CI 2 biomass is approximately 101%</w:t>
      </w:r>
      <w:r w:rsidRPr="00E16A9C">
        <w:rPr>
          <w:szCs w:val="24"/>
        </w:rPr>
        <w:t xml:space="preserve"> B</w:t>
      </w:r>
      <w:r w:rsidRPr="00E16A9C">
        <w:rPr>
          <w:szCs w:val="24"/>
          <w:vertAlign w:val="subscript"/>
        </w:rPr>
        <w:t>0</w:t>
      </w:r>
      <w:r>
        <w:rPr>
          <w:szCs w:val="24"/>
        </w:rPr>
        <w:t xml:space="preserve">, </w:t>
      </w:r>
      <w:r w:rsidRPr="00E16A9C">
        <w:rPr>
          <w:szCs w:val="24"/>
        </w:rPr>
        <w:t xml:space="preserve">which is </w:t>
      </w:r>
      <w:r>
        <w:rPr>
          <w:szCs w:val="24"/>
        </w:rPr>
        <w:t xml:space="preserve">well </w:t>
      </w:r>
      <w:r w:rsidRPr="00E16A9C">
        <w:rPr>
          <w:szCs w:val="24"/>
        </w:rPr>
        <w:t>above the default management target of 40% B</w:t>
      </w:r>
      <w:r w:rsidRPr="00E16A9C">
        <w:rPr>
          <w:szCs w:val="24"/>
          <w:vertAlign w:val="subscript"/>
        </w:rPr>
        <w:t>0</w:t>
      </w:r>
      <w:r>
        <w:rPr>
          <w:szCs w:val="24"/>
        </w:rPr>
        <w:t>. These results demonstrate</w:t>
      </w:r>
      <w:r>
        <w:t xml:space="preserve"> that the improvement in stock status identified in 2013 has continued, and that </w:t>
      </w:r>
      <w:r w:rsidR="00DD5084">
        <w:t>there is the opportunity to consider options for increased utilisation in this fishery</w:t>
      </w:r>
      <w:r w:rsidR="00AA3B85">
        <w:t>.</w:t>
      </w:r>
    </w:p>
    <w:p w14:paraId="2349CEB2" w14:textId="77777777" w:rsidR="00471C3D" w:rsidRDefault="00471C3D" w:rsidP="00471C3D"/>
    <w:p w14:paraId="618B578E" w14:textId="7BCAA422" w:rsidR="00246064" w:rsidRDefault="00246064" w:rsidP="00246064">
      <w:r>
        <w:t xml:space="preserve">MPI considers that the </w:t>
      </w:r>
      <w:r w:rsidR="00DD5084">
        <w:t xml:space="preserve">two </w:t>
      </w:r>
      <w:r>
        <w:t xml:space="preserve">options proposed in this document to increase the TAC, TACC and associated allowances to utilise the available biomass as a relatively low sustainability risk.  </w:t>
      </w:r>
    </w:p>
    <w:p w14:paraId="39AADB12" w14:textId="77777777" w:rsidR="00246064" w:rsidRDefault="00246064" w:rsidP="00246064"/>
    <w:p w14:paraId="6AA31E5F" w14:textId="77777777" w:rsidR="00786686" w:rsidRDefault="00246064" w:rsidP="00246064">
      <w:r>
        <w:t>The SCI 2 fishery is assessed on a relatively short time period of three years between surveys, and MPI is confident that appropriate management action will be possible if the stock declines significantly within the next three years.</w:t>
      </w:r>
    </w:p>
    <w:sectPr w:rsidR="00786686">
      <w:footerReference w:type="even" r:id="rId28"/>
      <w:footerReference w:type="default" r:id="rId29"/>
      <w:type w:val="oddPage"/>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1F966" w14:textId="77777777" w:rsidR="00D72AB9" w:rsidRDefault="00D72AB9">
      <w:r>
        <w:separator/>
      </w:r>
    </w:p>
  </w:endnote>
  <w:endnote w:type="continuationSeparator" w:id="0">
    <w:p w14:paraId="18A289D2" w14:textId="77777777" w:rsidR="00D72AB9" w:rsidRDefault="00D7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A4281" w14:textId="77777777" w:rsidR="00FE3177" w:rsidRDefault="00FE3177">
    <w:pPr>
      <w:pStyle w:val="Footer"/>
    </w:pPr>
    <w:r>
      <w:rPr>
        <w:noProof/>
        <w:lang w:eastAsia="en-NZ"/>
      </w:rPr>
      <w:drawing>
        <wp:anchor distT="0" distB="0" distL="114300" distR="114300" simplePos="0" relativeHeight="251659776" behindDoc="0" locked="0" layoutInCell="1" allowOverlap="1" wp14:anchorId="03DEE2B6" wp14:editId="18AC0B21">
          <wp:simplePos x="0" y="0"/>
          <wp:positionH relativeFrom="column">
            <wp:posOffset>1565275</wp:posOffset>
          </wp:positionH>
          <wp:positionV relativeFrom="paragraph">
            <wp:posOffset>70485</wp:posOffset>
          </wp:positionV>
          <wp:extent cx="2343785" cy="284480"/>
          <wp:effectExtent l="0" t="0" r="0" b="1270"/>
          <wp:wrapNone/>
          <wp:docPr id="15" name="Picture 15" descr="growing-and-protecting-new-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wing-and-protecting-new-zea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8752" behindDoc="0" locked="0" layoutInCell="1" allowOverlap="1" wp14:anchorId="1B33AE82" wp14:editId="28BA6993">
          <wp:simplePos x="0" y="0"/>
          <wp:positionH relativeFrom="column">
            <wp:posOffset>-1274445</wp:posOffset>
          </wp:positionH>
          <wp:positionV relativeFrom="paragraph">
            <wp:posOffset>131445</wp:posOffset>
          </wp:positionV>
          <wp:extent cx="1656080" cy="168910"/>
          <wp:effectExtent l="0" t="0" r="1270" b="2540"/>
          <wp:wrapNone/>
          <wp:docPr id="14" name="Picture 14" descr="new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zealand govern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168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9452D" w14:textId="77777777" w:rsidR="00FE3177" w:rsidRDefault="00FE31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F5FDACA" w14:textId="77777777" w:rsidR="00FE3177" w:rsidRDefault="00FE317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1870D" w14:textId="77777777" w:rsidR="00FE3177" w:rsidRPr="00231D6D" w:rsidRDefault="00FE3177">
    <w:pPr>
      <w:pStyle w:val="Footer"/>
      <w:pBdr>
        <w:top w:val="single" w:sz="4" w:space="1" w:color="auto"/>
      </w:pBdr>
      <w:tabs>
        <w:tab w:val="clear" w:pos="8640"/>
      </w:tabs>
      <w:jc w:val="center"/>
    </w:pPr>
    <w:r w:rsidRPr="00231D6D">
      <w:rPr>
        <w:rStyle w:val="PageNumber"/>
      </w:rPr>
      <w:fldChar w:fldCharType="begin"/>
    </w:r>
    <w:r w:rsidRPr="00231D6D">
      <w:rPr>
        <w:rStyle w:val="PageNumber"/>
      </w:rPr>
      <w:instrText xml:space="preserve"> PAGE </w:instrText>
    </w:r>
    <w:r w:rsidRPr="00231D6D">
      <w:rPr>
        <w:rStyle w:val="PageNumber"/>
      </w:rPr>
      <w:fldChar w:fldCharType="separate"/>
    </w:r>
    <w:r w:rsidR="006D010C">
      <w:rPr>
        <w:rStyle w:val="PageNumber"/>
        <w:noProof/>
      </w:rPr>
      <w:t>i</w:t>
    </w:r>
    <w:r w:rsidRPr="00231D6D">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8FD5D" w14:textId="77777777" w:rsidR="00FE3177" w:rsidRDefault="00FE31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E96C7" w14:textId="77777777" w:rsidR="00FE3177" w:rsidRDefault="00FE31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81AF981" w14:textId="77777777" w:rsidR="00FE3177" w:rsidRDefault="00FE317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F4887" w14:textId="77777777" w:rsidR="00FE3177" w:rsidRPr="00231D6D" w:rsidRDefault="00FE3177">
    <w:pPr>
      <w:pStyle w:val="Footer"/>
      <w:pBdr>
        <w:top w:val="single" w:sz="4" w:space="1" w:color="auto"/>
      </w:pBdr>
      <w:tabs>
        <w:tab w:val="clear" w:pos="8640"/>
      </w:tabs>
      <w:jc w:val="center"/>
    </w:pPr>
    <w:r>
      <w:rPr>
        <w:rStyle w:val="PageNumber"/>
      </w:rPr>
      <w:t>i</w:t>
    </w:r>
    <w:r w:rsidRPr="00231D6D">
      <w:rPr>
        <w:rStyle w:val="PageNumber"/>
      </w:rPr>
      <w:fldChar w:fldCharType="begin"/>
    </w:r>
    <w:r w:rsidRPr="00231D6D">
      <w:rPr>
        <w:rStyle w:val="PageNumber"/>
      </w:rPr>
      <w:instrText xml:space="preserve"> PAGE </w:instrText>
    </w:r>
    <w:r w:rsidRPr="00231D6D">
      <w:rPr>
        <w:rStyle w:val="PageNumber"/>
      </w:rPr>
      <w:fldChar w:fldCharType="separate"/>
    </w:r>
    <w:r w:rsidR="006D010C">
      <w:rPr>
        <w:rStyle w:val="PageNumber"/>
        <w:noProof/>
      </w:rPr>
      <w:t>i</w:t>
    </w:r>
    <w:r w:rsidRPr="00231D6D">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3640E" w14:textId="77777777" w:rsidR="00FE3177" w:rsidRDefault="00FE317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B0B37" w14:textId="77777777" w:rsidR="00FE3177" w:rsidRPr="0063707E" w:rsidRDefault="00FE3177">
    <w:pPr>
      <w:pStyle w:val="Footer"/>
      <w:pBdr>
        <w:top w:val="single" w:sz="4" w:space="1" w:color="auto"/>
      </w:pBdr>
      <w:tabs>
        <w:tab w:val="clear" w:pos="4320"/>
        <w:tab w:val="clear" w:pos="8640"/>
        <w:tab w:val="right" w:pos="9072"/>
      </w:tabs>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sidR="006D010C">
      <w:rPr>
        <w:rStyle w:val="PageNumber"/>
        <w:noProof/>
      </w:rPr>
      <w:t>10</w:t>
    </w:r>
    <w:r w:rsidRPr="0063707E">
      <w:rPr>
        <w:rStyle w:val="PageNumber"/>
      </w:rPr>
      <w:fldChar w:fldCharType="end"/>
    </w:r>
    <w:r w:rsidRPr="0063707E">
      <w:rPr>
        <w:rStyle w:val="PageNumber"/>
      </w:rPr>
      <w:t xml:space="preserve"> </w:t>
    </w:r>
    <w:r w:rsidRPr="0063707E">
      <w:sym w:font="Symbol" w:char="F0B7"/>
    </w:r>
    <w:r>
      <w:t xml:space="preserve"> Review of Management Controls for SCI 2 </w:t>
    </w:r>
    <w:r w:rsidRPr="00C57E79">
      <w:t xml:space="preserve"> </w:t>
    </w:r>
    <w:r w:rsidRPr="0063707E">
      <w:rPr>
        <w:rStyle w:val="PageNumber"/>
      </w:rPr>
      <w:tab/>
    </w:r>
    <w:r>
      <w:t>Ministry for Primary Industries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01842" w14:textId="77777777" w:rsidR="00FE3177" w:rsidRPr="00C57E79" w:rsidRDefault="00FE3177">
    <w:pPr>
      <w:pStyle w:val="Footer"/>
      <w:pBdr>
        <w:top w:val="single" w:sz="4" w:space="1" w:color="auto"/>
      </w:pBdr>
      <w:tabs>
        <w:tab w:val="clear" w:pos="4320"/>
        <w:tab w:val="clear" w:pos="8640"/>
        <w:tab w:val="right" w:pos="9072"/>
      </w:tabs>
    </w:pPr>
    <w:r>
      <w:t>Ministry for Primary Industries</w:t>
    </w:r>
    <w:r w:rsidRPr="00C57E79">
      <w:t xml:space="preserve"> </w:t>
    </w:r>
    <w:r w:rsidRPr="00C57E79">
      <w:tab/>
    </w:r>
    <w:r>
      <w:t>Review of Management Controls for SCI 2</w:t>
    </w:r>
    <w:r w:rsidRPr="00C57E79">
      <w:t xml:space="preserve"> </w:t>
    </w:r>
    <w:r w:rsidRPr="00C57E79">
      <w:sym w:font="Symbol" w:char="F0B7"/>
    </w:r>
    <w:r w:rsidRPr="00C57E79">
      <w:t xml:space="preserve"> </w:t>
    </w:r>
    <w:r w:rsidRPr="00C57E79">
      <w:rPr>
        <w:rStyle w:val="PageNumber"/>
      </w:rPr>
      <w:fldChar w:fldCharType="begin"/>
    </w:r>
    <w:r w:rsidRPr="00C57E79">
      <w:rPr>
        <w:rStyle w:val="PageNumber"/>
      </w:rPr>
      <w:instrText xml:space="preserve"> PAGE </w:instrText>
    </w:r>
    <w:r w:rsidRPr="00C57E79">
      <w:rPr>
        <w:rStyle w:val="PageNumber"/>
      </w:rPr>
      <w:fldChar w:fldCharType="separate"/>
    </w:r>
    <w:r w:rsidR="006D010C">
      <w:rPr>
        <w:rStyle w:val="PageNumber"/>
        <w:noProof/>
      </w:rPr>
      <w:t>11</w:t>
    </w:r>
    <w:r w:rsidRPr="00C57E7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5832D" w14:textId="77777777" w:rsidR="00D72AB9" w:rsidRDefault="00D72AB9">
      <w:r>
        <w:separator/>
      </w:r>
    </w:p>
  </w:footnote>
  <w:footnote w:type="continuationSeparator" w:id="0">
    <w:p w14:paraId="52BD2083" w14:textId="77777777" w:rsidR="00D72AB9" w:rsidRDefault="00D72AB9">
      <w:r>
        <w:continuationSeparator/>
      </w:r>
    </w:p>
  </w:footnote>
  <w:footnote w:id="1">
    <w:p w14:paraId="377CAA5A" w14:textId="0F72D843" w:rsidR="00331517" w:rsidRPr="0052601F" w:rsidRDefault="00331517">
      <w:pPr>
        <w:pStyle w:val="FootnoteText"/>
        <w:rPr>
          <w:rFonts w:ascii="Arial Narrow" w:hAnsi="Arial Narrow"/>
        </w:rPr>
      </w:pPr>
      <w:r w:rsidRPr="0052601F">
        <w:rPr>
          <w:rStyle w:val="FootnoteReference"/>
          <w:rFonts w:ascii="Arial Narrow" w:hAnsi="Arial Narrow"/>
          <w:sz w:val="18"/>
        </w:rPr>
        <w:footnoteRef/>
      </w:r>
      <w:r w:rsidRPr="0052601F">
        <w:rPr>
          <w:rFonts w:ascii="Arial Narrow" w:hAnsi="Arial Narrow"/>
          <w:sz w:val="18"/>
        </w:rPr>
        <w:t xml:space="preserve"> Deterministic </w:t>
      </w:r>
      <w:r w:rsidRPr="0052601F">
        <w:rPr>
          <w:rFonts w:ascii="Arial Narrow" w:hAnsi="Arial Narrow"/>
          <w:i/>
          <w:sz w:val="18"/>
        </w:rPr>
        <w:t>B</w:t>
      </w:r>
      <w:r w:rsidRPr="0052601F">
        <w:rPr>
          <w:rFonts w:ascii="Arial Narrow" w:hAnsi="Arial Narrow"/>
          <w:i/>
          <w:sz w:val="18"/>
          <w:vertAlign w:val="subscript"/>
        </w:rPr>
        <w:t>MSY</w:t>
      </w:r>
      <w:r w:rsidRPr="0052601F">
        <w:rPr>
          <w:rFonts w:ascii="Arial Narrow" w:hAnsi="Arial Narrow"/>
          <w:sz w:val="18"/>
        </w:rPr>
        <w:t xml:space="preserve"> for SCI 2 is estimated to be 27% of the unfished biomass (</w:t>
      </w:r>
      <w:r w:rsidRPr="0052601F">
        <w:rPr>
          <w:rFonts w:ascii="Arial Narrow" w:hAnsi="Arial Narrow"/>
          <w:i/>
          <w:sz w:val="18"/>
        </w:rPr>
        <w:t>B</w:t>
      </w:r>
      <w:r w:rsidRPr="0052601F">
        <w:rPr>
          <w:rFonts w:ascii="Arial Narrow" w:hAnsi="Arial Narrow"/>
          <w:i/>
          <w:sz w:val="18"/>
          <w:vertAlign w:val="subscript"/>
        </w:rPr>
        <w:t>0</w:t>
      </w:r>
      <w:r w:rsidRPr="0052601F">
        <w:rPr>
          <w:rFonts w:ascii="Arial Narrow" w:hAnsi="Arial Narrow"/>
          <w:sz w:val="18"/>
        </w:rPr>
        <w:t>),</w:t>
      </w:r>
    </w:p>
  </w:footnote>
  <w:footnote w:id="2">
    <w:p w14:paraId="7C2E5C90" w14:textId="77777777" w:rsidR="00FE3177" w:rsidRPr="0052601F" w:rsidRDefault="00FE3177">
      <w:pPr>
        <w:pStyle w:val="FootnoteText"/>
        <w:rPr>
          <w:rFonts w:ascii="Arial Narrow" w:hAnsi="Arial Narrow"/>
          <w:sz w:val="18"/>
        </w:rPr>
      </w:pPr>
      <w:r w:rsidRPr="0052601F">
        <w:rPr>
          <w:rStyle w:val="FootnoteReference"/>
          <w:rFonts w:ascii="Arial Narrow" w:hAnsi="Arial Narrow"/>
          <w:sz w:val="18"/>
        </w:rPr>
        <w:footnoteRef/>
      </w:r>
      <w:r w:rsidRPr="0052601F">
        <w:rPr>
          <w:rFonts w:ascii="Arial Narrow" w:hAnsi="Arial Narrow"/>
          <w:sz w:val="18"/>
        </w:rPr>
        <w:t xml:space="preserve"> Anderson, O.F. (2012). Fish and invertebrate bycatch and discards in New Zealand scampi fisheries from 1990–91 until 2009–10.</w:t>
      </w:r>
    </w:p>
  </w:footnote>
  <w:footnote w:id="3">
    <w:p w14:paraId="19A1E7DE" w14:textId="77777777" w:rsidR="00FE3177" w:rsidRPr="003C07D3" w:rsidRDefault="00FE3177" w:rsidP="00DD150E">
      <w:pPr>
        <w:pStyle w:val="FootnoteText"/>
        <w:spacing w:after="40"/>
      </w:pPr>
      <w:r w:rsidRPr="0052601F">
        <w:rPr>
          <w:rFonts w:ascii="Arial Narrow" w:hAnsi="Arial Narrow"/>
          <w:sz w:val="18"/>
        </w:rPr>
        <w:footnoteRef/>
      </w:r>
      <w:r w:rsidRPr="0052601F">
        <w:rPr>
          <w:rFonts w:ascii="Arial Narrow" w:hAnsi="Arial Narrow"/>
          <w:sz w:val="18"/>
        </w:rPr>
        <w:t xml:space="preserve"> Richard, Y.; Abraham, E.R. (2015). Assessment of the risk of commercial fisheries to New Zealand seabirds, 2006–07 to 2012–13.</w:t>
      </w:r>
    </w:p>
  </w:footnote>
  <w:footnote w:id="4">
    <w:p w14:paraId="7348E452" w14:textId="77777777" w:rsidR="00FE3177" w:rsidRPr="0052601F" w:rsidRDefault="00FE3177" w:rsidP="00DD150E">
      <w:pPr>
        <w:pStyle w:val="Footer"/>
      </w:pPr>
      <w:r w:rsidRPr="0052601F">
        <w:rPr>
          <w:rStyle w:val="FootnoteReference"/>
          <w:rFonts w:cs="Arial"/>
        </w:rPr>
        <w:footnoteRef/>
      </w:r>
      <w:r w:rsidRPr="0052601F">
        <w:t xml:space="preserve"> Based on export figures for 2015 calendar year of $32.88 / kg. Scampi does not have its own Harmonised System (HS) code and therefore is captured under shrimps &amp; prawns. No precise product form is assigned therefore a greenweight export price cannot be calculated. The $32.88 / kg figure was calculated for Other Crustacea Frozen (Shrimps and prawns). Precise revenue is difficult to estimate and will be influenced by factors such as commodity prices, exchange rate, catching costs and export state.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BAA81" w14:textId="77777777" w:rsidR="00FE3177" w:rsidRDefault="00FE3177" w:rsidP="009F7A2D">
    <w:pPr>
      <w:pStyle w:val="Header"/>
      <w:jc w:val="right"/>
    </w:pPr>
    <w:r>
      <w:rPr>
        <w:noProof/>
        <w:lang w:eastAsia="en-NZ"/>
      </w:rPr>
      <w:drawing>
        <wp:anchor distT="0" distB="0" distL="114300" distR="114300" simplePos="0" relativeHeight="251656704" behindDoc="0" locked="0" layoutInCell="1" allowOverlap="1" wp14:anchorId="28856DCD" wp14:editId="21D21EF3">
          <wp:simplePos x="0" y="0"/>
          <wp:positionH relativeFrom="column">
            <wp:posOffset>705485</wp:posOffset>
          </wp:positionH>
          <wp:positionV relativeFrom="paragraph">
            <wp:posOffset>-39370</wp:posOffset>
          </wp:positionV>
          <wp:extent cx="3200400" cy="734695"/>
          <wp:effectExtent l="0" t="0" r="0" b="8255"/>
          <wp:wrapNone/>
          <wp:docPr id="10" name="Picture 10" descr="MPI-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I-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DD3">
      <w:rPr>
        <w:noProof/>
        <w:lang w:eastAsia="en-NZ"/>
      </w:rPr>
      <w:drawing>
        <wp:anchor distT="0" distB="0" distL="114300" distR="114300" simplePos="0" relativeHeight="251657728" behindDoc="0" locked="0" layoutInCell="1" allowOverlap="1" wp14:anchorId="14FA2313" wp14:editId="5B205EBA">
          <wp:simplePos x="0" y="0"/>
          <wp:positionH relativeFrom="column">
            <wp:posOffset>-3159125</wp:posOffset>
          </wp:positionH>
          <wp:positionV relativeFrom="paragraph">
            <wp:posOffset>-683260</wp:posOffset>
          </wp:positionV>
          <wp:extent cx="1969770" cy="11201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770" cy="11201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0147" w14:textId="77777777" w:rsidR="00FE3177" w:rsidRDefault="00FE3177" w:rsidP="009F7A2D">
    <w:pPr>
      <w:pStyle w:val="Header"/>
      <w:jc w:val="right"/>
    </w:pPr>
    <w:r>
      <w:rPr>
        <w:noProof/>
        <w:lang w:eastAsia="en-NZ"/>
      </w:rPr>
      <mc:AlternateContent>
        <mc:Choice Requires="wps">
          <w:drawing>
            <wp:anchor distT="0" distB="0" distL="114300" distR="114300" simplePos="0" relativeHeight="251661824" behindDoc="0" locked="0" layoutInCell="1" allowOverlap="1" wp14:anchorId="1270F6A9" wp14:editId="12B36519">
              <wp:simplePos x="0" y="0"/>
              <wp:positionH relativeFrom="column">
                <wp:posOffset>-3159125</wp:posOffset>
              </wp:positionH>
              <wp:positionV relativeFrom="paragraph">
                <wp:posOffset>-454660</wp:posOffset>
              </wp:positionV>
              <wp:extent cx="2160270" cy="107442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744200"/>
                      </a:xfrm>
                      <a:prstGeom prst="rect">
                        <a:avLst/>
                      </a:prstGeom>
                      <a:solidFill>
                        <a:srgbClr val="FDB91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4D1C2" id="Rectangle 4" o:spid="_x0000_s1026" style="position:absolute;margin-left:-248.75pt;margin-top:-35.8pt;width:170.1pt;height:8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" fillcolor="#fdb913" stroked="f" strokeweight="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0B716" w14:textId="77777777" w:rsidR="00FE3177" w:rsidRDefault="00FE3177" w:rsidP="009F7A2D">
    <w:pPr>
      <w:pStyle w:val="Header"/>
      <w:jc w:val="right"/>
    </w:pPr>
    <w:r>
      <w:rPr>
        <w:noProof/>
        <w:lang w:eastAsia="en-NZ"/>
      </w:rPr>
      <mc:AlternateContent>
        <mc:Choice Requires="wps">
          <w:drawing>
            <wp:anchor distT="0" distB="0" distL="114300" distR="114300" simplePos="0" relativeHeight="251655680" behindDoc="0" locked="0" layoutInCell="1" allowOverlap="1" wp14:anchorId="073A304D" wp14:editId="5E5BA0A2">
              <wp:simplePos x="0" y="0"/>
              <wp:positionH relativeFrom="column">
                <wp:posOffset>-3159125</wp:posOffset>
              </wp:positionH>
              <wp:positionV relativeFrom="paragraph">
                <wp:posOffset>-454660</wp:posOffset>
              </wp:positionV>
              <wp:extent cx="2160270" cy="107442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744200"/>
                      </a:xfrm>
                      <a:prstGeom prst="rect">
                        <a:avLst/>
                      </a:prstGeom>
                      <a:solidFill>
                        <a:srgbClr val="FDB91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4B7E2" id="Rectangle 4" o:spid="_x0000_s1026" style="position:absolute;margin-left:-248.75pt;margin-top:-35.8pt;width:170.1pt;height:8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" fillcolor="#fdb913" stroked="f" strokeweight="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16C43C8"/>
    <w:lvl w:ilvl="0">
      <w:start w:val="1"/>
      <w:numFmt w:val="lowerLetter"/>
      <w:pStyle w:val="ListNumber2"/>
      <w:lvlText w:val="%1)"/>
      <w:lvlJc w:val="left"/>
      <w:pPr>
        <w:tabs>
          <w:tab w:val="num" w:pos="284"/>
        </w:tabs>
        <w:ind w:left="284" w:hanging="284"/>
      </w:pPr>
      <w:rPr>
        <w:rFonts w:hint="default"/>
      </w:rPr>
    </w:lvl>
  </w:abstractNum>
  <w:abstractNum w:abstractNumId="1" w15:restartNumberingAfterBreak="0">
    <w:nsid w:val="FFFFFF83"/>
    <w:multiLevelType w:val="singleLevel"/>
    <w:tmpl w:val="42A06A24"/>
    <w:lvl w:ilvl="0">
      <w:start w:val="1"/>
      <w:numFmt w:val="bullet"/>
      <w:pStyle w:val="ListBullet2"/>
      <w:lvlText w:val="−"/>
      <w:lvlJc w:val="left"/>
      <w:pPr>
        <w:tabs>
          <w:tab w:val="num" w:pos="566"/>
        </w:tabs>
        <w:ind w:left="566" w:hanging="283"/>
      </w:pPr>
      <w:rPr>
        <w:rFonts w:ascii="Times New Roman" w:hAnsi="Times New Roman" w:cs="Times New Roman" w:hint="default"/>
      </w:rPr>
    </w:lvl>
  </w:abstractNum>
  <w:abstractNum w:abstractNumId="2" w15:restartNumberingAfterBreak="0">
    <w:nsid w:val="FFFFFF88"/>
    <w:multiLevelType w:val="singleLevel"/>
    <w:tmpl w:val="2E42FB1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7136B1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44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904BA0"/>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0C3758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9F68F9"/>
    <w:multiLevelType w:val="multilevel"/>
    <w:tmpl w:val="EFB46E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0704D82"/>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9" w15:restartNumberingAfterBreak="0">
    <w:nsid w:val="12D05A26"/>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8FF2C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A56F47"/>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12" w15:restartNumberingAfterBreak="0">
    <w:nsid w:val="20A5068D"/>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13" w15:restartNumberingAfterBreak="0">
    <w:nsid w:val="233619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6F6FF2"/>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371571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06115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8F57B8"/>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18" w15:restartNumberingAfterBreak="0">
    <w:nsid w:val="4B745AC8"/>
    <w:multiLevelType w:val="singleLevel"/>
    <w:tmpl w:val="FD288032"/>
    <w:lvl w:ilvl="0">
      <w:start w:val="1"/>
      <w:numFmt w:val="decimal"/>
      <w:lvlText w:val="%1."/>
      <w:lvlJc w:val="left"/>
      <w:pPr>
        <w:tabs>
          <w:tab w:val="num" w:pos="360"/>
        </w:tabs>
        <w:ind w:left="360" w:hanging="360"/>
      </w:pPr>
      <w:rPr>
        <w:rFonts w:hint="default"/>
      </w:rPr>
    </w:lvl>
  </w:abstractNum>
  <w:abstractNum w:abstractNumId="19" w15:restartNumberingAfterBreak="0">
    <w:nsid w:val="4C157A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DCD7792"/>
    <w:multiLevelType w:val="singleLevel"/>
    <w:tmpl w:val="E8384DC6"/>
    <w:lvl w:ilvl="0">
      <w:start w:val="1"/>
      <w:numFmt w:val="bullet"/>
      <w:pStyle w:val="ListBullet"/>
      <w:lvlText w:val=""/>
      <w:lvlJc w:val="left"/>
      <w:pPr>
        <w:tabs>
          <w:tab w:val="num" w:pos="360"/>
        </w:tabs>
        <w:ind w:left="360" w:hanging="360"/>
      </w:pPr>
      <w:rPr>
        <w:rFonts w:ascii="Symbol" w:hAnsi="Symbol" w:hint="default"/>
      </w:rPr>
    </w:lvl>
  </w:abstractNum>
  <w:abstractNum w:abstractNumId="21" w15:restartNumberingAfterBreak="0">
    <w:nsid w:val="4ED62B39"/>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22" w15:restartNumberingAfterBreak="0">
    <w:nsid w:val="52B64A88"/>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535352E0"/>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53C60E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E5358F"/>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abstractNum w:abstractNumId="26" w15:restartNumberingAfterBreak="0">
    <w:nsid w:val="61541F2C"/>
    <w:multiLevelType w:val="singleLevel"/>
    <w:tmpl w:val="755A64F6"/>
    <w:lvl w:ilvl="0">
      <w:start w:val="1"/>
      <w:numFmt w:val="decimal"/>
      <w:pStyle w:val="ListNumber"/>
      <w:lvlText w:val="%1."/>
      <w:lvlJc w:val="left"/>
      <w:pPr>
        <w:tabs>
          <w:tab w:val="num" w:pos="1778"/>
        </w:tabs>
        <w:ind w:left="1758" w:hanging="340"/>
      </w:pPr>
      <w:rPr>
        <w:rFonts w:ascii="Times New Roman" w:hAnsi="Times New Roman" w:hint="default"/>
        <w:b w:val="0"/>
        <w:i w:val="0"/>
        <w:sz w:val="24"/>
        <w:effect w:val="none"/>
      </w:rPr>
    </w:lvl>
  </w:abstractNum>
  <w:abstractNum w:abstractNumId="27" w15:restartNumberingAfterBreak="0">
    <w:nsid w:val="61C760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94542"/>
    <w:multiLevelType w:val="hybridMultilevel"/>
    <w:tmpl w:val="D7465A36"/>
    <w:lvl w:ilvl="0" w:tplc="33DCEE24">
      <w:start w:val="1"/>
      <w:numFmt w:val="decimal"/>
      <w:lvlText w:val="%1"/>
      <w:lvlJc w:val="left"/>
      <w:pPr>
        <w:ind w:left="720" w:hanging="360"/>
      </w:pPr>
      <w:rPr>
        <w:rFonts w:ascii="Times New Roman" w:hAnsi="Times New Roman" w:cs="Times New Roman" w:hint="default"/>
        <w:b w:val="0"/>
        <w:i w:val="0"/>
      </w:rPr>
    </w:lvl>
    <w:lvl w:ilvl="1" w:tplc="14090019">
      <w:start w:val="1"/>
      <w:numFmt w:val="decimal"/>
      <w:lvlText w:val="%2."/>
      <w:lvlJc w:val="left"/>
      <w:pPr>
        <w:tabs>
          <w:tab w:val="num" w:pos="1440"/>
        </w:tabs>
        <w:ind w:left="1440" w:hanging="360"/>
      </w:pPr>
      <w:rPr>
        <w:rFonts w:cs="Times New Roman"/>
      </w:rPr>
    </w:lvl>
    <w:lvl w:ilvl="2" w:tplc="1409001B">
      <w:start w:val="1"/>
      <w:numFmt w:val="decimal"/>
      <w:lvlText w:val="%3."/>
      <w:lvlJc w:val="left"/>
      <w:pPr>
        <w:tabs>
          <w:tab w:val="num" w:pos="2160"/>
        </w:tabs>
        <w:ind w:left="2160" w:hanging="360"/>
      </w:pPr>
      <w:rPr>
        <w:rFonts w:cs="Times New Roman"/>
      </w:rPr>
    </w:lvl>
    <w:lvl w:ilvl="3" w:tplc="1409000F">
      <w:start w:val="1"/>
      <w:numFmt w:val="decimal"/>
      <w:lvlText w:val="%4."/>
      <w:lvlJc w:val="left"/>
      <w:pPr>
        <w:tabs>
          <w:tab w:val="num" w:pos="2880"/>
        </w:tabs>
        <w:ind w:left="2880" w:hanging="360"/>
      </w:pPr>
      <w:rPr>
        <w:rFonts w:cs="Times New Roman"/>
      </w:rPr>
    </w:lvl>
    <w:lvl w:ilvl="4" w:tplc="14090019">
      <w:start w:val="1"/>
      <w:numFmt w:val="decimal"/>
      <w:lvlText w:val="%5."/>
      <w:lvlJc w:val="left"/>
      <w:pPr>
        <w:tabs>
          <w:tab w:val="num" w:pos="3600"/>
        </w:tabs>
        <w:ind w:left="3600" w:hanging="360"/>
      </w:pPr>
      <w:rPr>
        <w:rFonts w:cs="Times New Roman"/>
      </w:rPr>
    </w:lvl>
    <w:lvl w:ilvl="5" w:tplc="1409001B">
      <w:start w:val="1"/>
      <w:numFmt w:val="decimal"/>
      <w:lvlText w:val="%6."/>
      <w:lvlJc w:val="left"/>
      <w:pPr>
        <w:tabs>
          <w:tab w:val="num" w:pos="4320"/>
        </w:tabs>
        <w:ind w:left="4320" w:hanging="360"/>
      </w:pPr>
      <w:rPr>
        <w:rFonts w:cs="Times New Roman"/>
      </w:rPr>
    </w:lvl>
    <w:lvl w:ilvl="6" w:tplc="1409000F">
      <w:start w:val="1"/>
      <w:numFmt w:val="decimal"/>
      <w:lvlText w:val="%7."/>
      <w:lvlJc w:val="left"/>
      <w:pPr>
        <w:tabs>
          <w:tab w:val="num" w:pos="5040"/>
        </w:tabs>
        <w:ind w:left="5040" w:hanging="360"/>
      </w:pPr>
      <w:rPr>
        <w:rFonts w:cs="Times New Roman"/>
      </w:rPr>
    </w:lvl>
    <w:lvl w:ilvl="7" w:tplc="14090019">
      <w:start w:val="1"/>
      <w:numFmt w:val="decimal"/>
      <w:lvlText w:val="%8."/>
      <w:lvlJc w:val="left"/>
      <w:pPr>
        <w:tabs>
          <w:tab w:val="num" w:pos="5760"/>
        </w:tabs>
        <w:ind w:left="5760" w:hanging="360"/>
      </w:pPr>
      <w:rPr>
        <w:rFonts w:cs="Times New Roman"/>
      </w:rPr>
    </w:lvl>
    <w:lvl w:ilvl="8" w:tplc="1409001B">
      <w:start w:val="1"/>
      <w:numFmt w:val="decimal"/>
      <w:lvlText w:val="%9."/>
      <w:lvlJc w:val="left"/>
      <w:pPr>
        <w:tabs>
          <w:tab w:val="num" w:pos="6480"/>
        </w:tabs>
        <w:ind w:left="6480" w:hanging="360"/>
      </w:pPr>
      <w:rPr>
        <w:rFonts w:cs="Times New Roman"/>
      </w:rPr>
    </w:lvl>
  </w:abstractNum>
  <w:abstractNum w:abstractNumId="29" w15:restartNumberingAfterBreak="0">
    <w:nsid w:val="70F069F4"/>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76B07E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91E3568"/>
    <w:multiLevelType w:val="singleLevel"/>
    <w:tmpl w:val="ECA29382"/>
    <w:lvl w:ilvl="0">
      <w:start w:val="1"/>
      <w:numFmt w:val="bullet"/>
      <w:lvlText w:val=""/>
      <w:lvlJc w:val="left"/>
      <w:pPr>
        <w:tabs>
          <w:tab w:val="num" w:pos="2174"/>
        </w:tabs>
        <w:ind w:left="2097" w:hanging="283"/>
      </w:pPr>
      <w:rPr>
        <w:rFonts w:ascii="Symbol" w:hAnsi="Symbol" w:hint="default"/>
        <w:sz w:val="22"/>
      </w:rPr>
    </w:lvl>
  </w:abstractNum>
  <w:num w:numId="1">
    <w:abstractNumId w:val="3"/>
  </w:num>
  <w:num w:numId="2">
    <w:abstractNumId w:val="3"/>
  </w:num>
  <w:num w:numId="3">
    <w:abstractNumId w:val="3"/>
  </w:num>
  <w:num w:numId="4">
    <w:abstractNumId w:val="3"/>
  </w:num>
  <w:num w:numId="5">
    <w:abstractNumId w:val="3"/>
  </w:num>
  <w:num w:numId="6">
    <w:abstractNumId w:val="17"/>
  </w:num>
  <w:num w:numId="7">
    <w:abstractNumId w:val="31"/>
  </w:num>
  <w:num w:numId="8">
    <w:abstractNumId w:val="4"/>
  </w:num>
  <w:num w:numId="9">
    <w:abstractNumId w:val="16"/>
  </w:num>
  <w:num w:numId="10">
    <w:abstractNumId w:val="2"/>
  </w:num>
  <w:num w:numId="11">
    <w:abstractNumId w:val="26"/>
  </w:num>
  <w:num w:numId="12">
    <w:abstractNumId w:val="12"/>
  </w:num>
  <w:num w:numId="13">
    <w:abstractNumId w:val="8"/>
  </w:num>
  <w:num w:numId="14">
    <w:abstractNumId w:val="24"/>
  </w:num>
  <w:num w:numId="15">
    <w:abstractNumId w:val="19"/>
  </w:num>
  <w:num w:numId="16">
    <w:abstractNumId w:val="26"/>
  </w:num>
  <w:num w:numId="17">
    <w:abstractNumId w:val="11"/>
  </w:num>
  <w:num w:numId="18">
    <w:abstractNumId w:val="21"/>
  </w:num>
  <w:num w:numId="19">
    <w:abstractNumId w:val="25"/>
  </w:num>
  <w:num w:numId="20">
    <w:abstractNumId w:val="7"/>
  </w:num>
  <w:num w:numId="21">
    <w:abstractNumId w:val="27"/>
  </w:num>
  <w:num w:numId="22">
    <w:abstractNumId w:val="10"/>
  </w:num>
  <w:num w:numId="23">
    <w:abstractNumId w:val="13"/>
  </w:num>
  <w:num w:numId="24">
    <w:abstractNumId w:val="26"/>
  </w:num>
  <w:num w:numId="25">
    <w:abstractNumId w:val="30"/>
  </w:num>
  <w:num w:numId="26">
    <w:abstractNumId w:val="20"/>
  </w:num>
  <w:num w:numId="27">
    <w:abstractNumId w:val="7"/>
  </w:num>
  <w:num w:numId="28">
    <w:abstractNumId w:val="6"/>
  </w:num>
  <w:num w:numId="29">
    <w:abstractNumId w:val="18"/>
  </w:num>
  <w:num w:numId="30">
    <w:abstractNumId w:val="15"/>
  </w:num>
  <w:num w:numId="31">
    <w:abstractNumId w:val="23"/>
  </w:num>
  <w:num w:numId="32">
    <w:abstractNumId w:val="23"/>
  </w:num>
  <w:num w:numId="33">
    <w:abstractNumId w:val="29"/>
  </w:num>
  <w:num w:numId="34">
    <w:abstractNumId w:val="5"/>
  </w:num>
  <w:num w:numId="35">
    <w:abstractNumId w:val="1"/>
  </w:num>
  <w:num w:numId="36">
    <w:abstractNumId w:val="0"/>
  </w:num>
  <w:num w:numId="37">
    <w:abstractNumId w:val="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30721">
      <o:colormru v:ext="edit" colors="#fdb913,#0054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47B"/>
    <w:rsid w:val="00015376"/>
    <w:rsid w:val="00025775"/>
    <w:rsid w:val="00026EA6"/>
    <w:rsid w:val="000308AC"/>
    <w:rsid w:val="000324E4"/>
    <w:rsid w:val="000407EF"/>
    <w:rsid w:val="00044375"/>
    <w:rsid w:val="00044A14"/>
    <w:rsid w:val="00045D10"/>
    <w:rsid w:val="00052350"/>
    <w:rsid w:val="000557B2"/>
    <w:rsid w:val="0006183E"/>
    <w:rsid w:val="00063F89"/>
    <w:rsid w:val="00066DAB"/>
    <w:rsid w:val="000675A0"/>
    <w:rsid w:val="00076AC3"/>
    <w:rsid w:val="00081A7F"/>
    <w:rsid w:val="00097C01"/>
    <w:rsid w:val="000A58BF"/>
    <w:rsid w:val="000B01FF"/>
    <w:rsid w:val="000B5154"/>
    <w:rsid w:val="000C4E63"/>
    <w:rsid w:val="000D0D1F"/>
    <w:rsid w:val="000F6E28"/>
    <w:rsid w:val="00101AD0"/>
    <w:rsid w:val="00106F80"/>
    <w:rsid w:val="00115D82"/>
    <w:rsid w:val="0011729A"/>
    <w:rsid w:val="001417D7"/>
    <w:rsid w:val="00162FE3"/>
    <w:rsid w:val="0018536A"/>
    <w:rsid w:val="00185CEB"/>
    <w:rsid w:val="00193E1C"/>
    <w:rsid w:val="001B7B52"/>
    <w:rsid w:val="001C4C2F"/>
    <w:rsid w:val="001C5776"/>
    <w:rsid w:val="001D20CB"/>
    <w:rsid w:val="001D6448"/>
    <w:rsid w:val="001E51D0"/>
    <w:rsid w:val="0020484E"/>
    <w:rsid w:val="00207B8A"/>
    <w:rsid w:val="00225C99"/>
    <w:rsid w:val="00231D6D"/>
    <w:rsid w:val="00231F12"/>
    <w:rsid w:val="002436A1"/>
    <w:rsid w:val="00246064"/>
    <w:rsid w:val="00252252"/>
    <w:rsid w:val="002551B2"/>
    <w:rsid w:val="0025606C"/>
    <w:rsid w:val="002604CD"/>
    <w:rsid w:val="00267E51"/>
    <w:rsid w:val="00290D24"/>
    <w:rsid w:val="002A4D2C"/>
    <w:rsid w:val="002A5D2B"/>
    <w:rsid w:val="002A6A6A"/>
    <w:rsid w:val="002B698D"/>
    <w:rsid w:val="002C345D"/>
    <w:rsid w:val="002C38EB"/>
    <w:rsid w:val="002C42CA"/>
    <w:rsid w:val="002C5788"/>
    <w:rsid w:val="002C63E2"/>
    <w:rsid w:val="002E2FFA"/>
    <w:rsid w:val="002E3232"/>
    <w:rsid w:val="002E629B"/>
    <w:rsid w:val="002F5F0F"/>
    <w:rsid w:val="003035B7"/>
    <w:rsid w:val="00331517"/>
    <w:rsid w:val="00340889"/>
    <w:rsid w:val="00343D62"/>
    <w:rsid w:val="00344267"/>
    <w:rsid w:val="00367A7A"/>
    <w:rsid w:val="003C63CF"/>
    <w:rsid w:val="003C7152"/>
    <w:rsid w:val="003D02BF"/>
    <w:rsid w:val="003E339E"/>
    <w:rsid w:val="003E4E01"/>
    <w:rsid w:val="003F258C"/>
    <w:rsid w:val="00400023"/>
    <w:rsid w:val="00403B24"/>
    <w:rsid w:val="004249D9"/>
    <w:rsid w:val="004412A2"/>
    <w:rsid w:val="0044691F"/>
    <w:rsid w:val="004478CC"/>
    <w:rsid w:val="00471C3D"/>
    <w:rsid w:val="004741D6"/>
    <w:rsid w:val="00474D78"/>
    <w:rsid w:val="00476A03"/>
    <w:rsid w:val="004808D2"/>
    <w:rsid w:val="00482732"/>
    <w:rsid w:val="00486FBC"/>
    <w:rsid w:val="004945C1"/>
    <w:rsid w:val="004960ED"/>
    <w:rsid w:val="004969E7"/>
    <w:rsid w:val="004B62A5"/>
    <w:rsid w:val="004C254B"/>
    <w:rsid w:val="004C51C1"/>
    <w:rsid w:val="004D113D"/>
    <w:rsid w:val="004D1673"/>
    <w:rsid w:val="004D4B92"/>
    <w:rsid w:val="004F452C"/>
    <w:rsid w:val="0050492A"/>
    <w:rsid w:val="0052013F"/>
    <w:rsid w:val="0052102A"/>
    <w:rsid w:val="00522A12"/>
    <w:rsid w:val="0052601F"/>
    <w:rsid w:val="00533B70"/>
    <w:rsid w:val="00553353"/>
    <w:rsid w:val="00566F09"/>
    <w:rsid w:val="00592333"/>
    <w:rsid w:val="00596C86"/>
    <w:rsid w:val="005B097B"/>
    <w:rsid w:val="005C1F1A"/>
    <w:rsid w:val="005D6337"/>
    <w:rsid w:val="005D76D7"/>
    <w:rsid w:val="005D7D25"/>
    <w:rsid w:val="005F12DB"/>
    <w:rsid w:val="005F5921"/>
    <w:rsid w:val="006029C3"/>
    <w:rsid w:val="006057F4"/>
    <w:rsid w:val="0060668B"/>
    <w:rsid w:val="006358C5"/>
    <w:rsid w:val="0063707E"/>
    <w:rsid w:val="0063762B"/>
    <w:rsid w:val="0065335B"/>
    <w:rsid w:val="0065384F"/>
    <w:rsid w:val="006606E4"/>
    <w:rsid w:val="006822A7"/>
    <w:rsid w:val="00682345"/>
    <w:rsid w:val="00693BCD"/>
    <w:rsid w:val="006A4F72"/>
    <w:rsid w:val="006C57DB"/>
    <w:rsid w:val="006C65ED"/>
    <w:rsid w:val="006C7368"/>
    <w:rsid w:val="006D010C"/>
    <w:rsid w:val="006D0580"/>
    <w:rsid w:val="006F146F"/>
    <w:rsid w:val="006F4779"/>
    <w:rsid w:val="006F6D2B"/>
    <w:rsid w:val="00703CEE"/>
    <w:rsid w:val="007075EB"/>
    <w:rsid w:val="00710B61"/>
    <w:rsid w:val="00711FFC"/>
    <w:rsid w:val="0071718C"/>
    <w:rsid w:val="00720878"/>
    <w:rsid w:val="00735460"/>
    <w:rsid w:val="0074189F"/>
    <w:rsid w:val="00743021"/>
    <w:rsid w:val="00786686"/>
    <w:rsid w:val="007869B3"/>
    <w:rsid w:val="00795E94"/>
    <w:rsid w:val="007A0B87"/>
    <w:rsid w:val="007A7E93"/>
    <w:rsid w:val="007B49D1"/>
    <w:rsid w:val="007B752C"/>
    <w:rsid w:val="007C06D6"/>
    <w:rsid w:val="007E7494"/>
    <w:rsid w:val="00812DAD"/>
    <w:rsid w:val="008157D4"/>
    <w:rsid w:val="0083423F"/>
    <w:rsid w:val="00841596"/>
    <w:rsid w:val="00866F96"/>
    <w:rsid w:val="008745B1"/>
    <w:rsid w:val="00886AE0"/>
    <w:rsid w:val="00890C8C"/>
    <w:rsid w:val="008A2739"/>
    <w:rsid w:val="008A6C96"/>
    <w:rsid w:val="008B0608"/>
    <w:rsid w:val="008B34A6"/>
    <w:rsid w:val="008B6C6E"/>
    <w:rsid w:val="008C02D2"/>
    <w:rsid w:val="008C7F2C"/>
    <w:rsid w:val="008D1C2D"/>
    <w:rsid w:val="008E1419"/>
    <w:rsid w:val="008E56EB"/>
    <w:rsid w:val="008E6C1B"/>
    <w:rsid w:val="008F5E75"/>
    <w:rsid w:val="00901FF8"/>
    <w:rsid w:val="00912671"/>
    <w:rsid w:val="009303F7"/>
    <w:rsid w:val="0094089D"/>
    <w:rsid w:val="0094123A"/>
    <w:rsid w:val="00943819"/>
    <w:rsid w:val="00951EDD"/>
    <w:rsid w:val="00956756"/>
    <w:rsid w:val="00973607"/>
    <w:rsid w:val="00987142"/>
    <w:rsid w:val="009A5A90"/>
    <w:rsid w:val="009B04EA"/>
    <w:rsid w:val="009B24D4"/>
    <w:rsid w:val="009D78E1"/>
    <w:rsid w:val="009E1541"/>
    <w:rsid w:val="009E50B0"/>
    <w:rsid w:val="009E7598"/>
    <w:rsid w:val="009F31AF"/>
    <w:rsid w:val="009F7988"/>
    <w:rsid w:val="009F7A2D"/>
    <w:rsid w:val="00A27A60"/>
    <w:rsid w:val="00A316C1"/>
    <w:rsid w:val="00A3331E"/>
    <w:rsid w:val="00A41D62"/>
    <w:rsid w:val="00A72166"/>
    <w:rsid w:val="00A75428"/>
    <w:rsid w:val="00A84C22"/>
    <w:rsid w:val="00A93E80"/>
    <w:rsid w:val="00AA3B85"/>
    <w:rsid w:val="00AA640B"/>
    <w:rsid w:val="00AC03BD"/>
    <w:rsid w:val="00AC3305"/>
    <w:rsid w:val="00AD047B"/>
    <w:rsid w:val="00AD23A4"/>
    <w:rsid w:val="00AE22B1"/>
    <w:rsid w:val="00AE6222"/>
    <w:rsid w:val="00AF2979"/>
    <w:rsid w:val="00B03188"/>
    <w:rsid w:val="00B04DF0"/>
    <w:rsid w:val="00B05BD5"/>
    <w:rsid w:val="00B222CF"/>
    <w:rsid w:val="00B22359"/>
    <w:rsid w:val="00B2716A"/>
    <w:rsid w:val="00B36101"/>
    <w:rsid w:val="00B37CC4"/>
    <w:rsid w:val="00B47468"/>
    <w:rsid w:val="00B5096E"/>
    <w:rsid w:val="00B541E2"/>
    <w:rsid w:val="00B653CB"/>
    <w:rsid w:val="00B72DD3"/>
    <w:rsid w:val="00B8482C"/>
    <w:rsid w:val="00B87925"/>
    <w:rsid w:val="00BE63E6"/>
    <w:rsid w:val="00C01AC3"/>
    <w:rsid w:val="00C020F3"/>
    <w:rsid w:val="00C03E5C"/>
    <w:rsid w:val="00C12EBC"/>
    <w:rsid w:val="00C1350F"/>
    <w:rsid w:val="00C1661A"/>
    <w:rsid w:val="00C23B1F"/>
    <w:rsid w:val="00C401D2"/>
    <w:rsid w:val="00C53863"/>
    <w:rsid w:val="00C57E79"/>
    <w:rsid w:val="00C60C7F"/>
    <w:rsid w:val="00C6591E"/>
    <w:rsid w:val="00C743B6"/>
    <w:rsid w:val="00C8310C"/>
    <w:rsid w:val="00C9234B"/>
    <w:rsid w:val="00CA147C"/>
    <w:rsid w:val="00CB388E"/>
    <w:rsid w:val="00CD1EF0"/>
    <w:rsid w:val="00CD3E80"/>
    <w:rsid w:val="00CD4234"/>
    <w:rsid w:val="00CD7137"/>
    <w:rsid w:val="00CD729C"/>
    <w:rsid w:val="00CE4737"/>
    <w:rsid w:val="00D00D76"/>
    <w:rsid w:val="00D17A4E"/>
    <w:rsid w:val="00D24B57"/>
    <w:rsid w:val="00D52041"/>
    <w:rsid w:val="00D64EDF"/>
    <w:rsid w:val="00D72AB9"/>
    <w:rsid w:val="00D7570F"/>
    <w:rsid w:val="00D7586B"/>
    <w:rsid w:val="00D92FA9"/>
    <w:rsid w:val="00DA5189"/>
    <w:rsid w:val="00DA5C60"/>
    <w:rsid w:val="00DB35CC"/>
    <w:rsid w:val="00DC1EE4"/>
    <w:rsid w:val="00DD150E"/>
    <w:rsid w:val="00DD193B"/>
    <w:rsid w:val="00DD3C6C"/>
    <w:rsid w:val="00DD5084"/>
    <w:rsid w:val="00DE142F"/>
    <w:rsid w:val="00DE54C9"/>
    <w:rsid w:val="00DE71E5"/>
    <w:rsid w:val="00E1391D"/>
    <w:rsid w:val="00E22300"/>
    <w:rsid w:val="00E368AC"/>
    <w:rsid w:val="00E44D2D"/>
    <w:rsid w:val="00E8057E"/>
    <w:rsid w:val="00E812C6"/>
    <w:rsid w:val="00E90476"/>
    <w:rsid w:val="00EB26EA"/>
    <w:rsid w:val="00EB2715"/>
    <w:rsid w:val="00EB4643"/>
    <w:rsid w:val="00EF1C8E"/>
    <w:rsid w:val="00F0105B"/>
    <w:rsid w:val="00F01DEF"/>
    <w:rsid w:val="00F020EF"/>
    <w:rsid w:val="00F05F63"/>
    <w:rsid w:val="00F11667"/>
    <w:rsid w:val="00F36EB9"/>
    <w:rsid w:val="00F466BD"/>
    <w:rsid w:val="00F57AB0"/>
    <w:rsid w:val="00F650E5"/>
    <w:rsid w:val="00F85CAF"/>
    <w:rsid w:val="00FA09EE"/>
    <w:rsid w:val="00FA2EBF"/>
    <w:rsid w:val="00FA6628"/>
    <w:rsid w:val="00FB3425"/>
    <w:rsid w:val="00FC27B7"/>
    <w:rsid w:val="00FD51DD"/>
    <w:rsid w:val="00FE3177"/>
    <w:rsid w:val="00FF5B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fdb913,#005447"/>
    </o:shapedefaults>
    <o:shapelayout v:ext="edit">
      <o:idmap v:ext="edit" data="1"/>
    </o:shapelayout>
  </w:shapeDefaults>
  <w:decimalSymbol w:val="."/>
  <w:listSeparator w:val=","/>
  <w14:docId w14:val="70356E35"/>
  <w15:chartTrackingRefBased/>
  <w15:docId w15:val="{CC151401-1781-4069-88B0-AC1F3366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uiPriority="99"/>
    <w:lsdException w:name="header" w:uiPriority="99"/>
    <w:lsdException w:name="footer" w:uiPriority="99"/>
    <w:lsdException w:name="caption" w:locked="1" w:semiHidden="1" w:unhideWhenUsed="1" w:qFormat="1"/>
    <w:lsdException w:name="envelope address" w:locked="1"/>
    <w:lsdException w:name="envelope return" w:locked="1"/>
    <w:lsdException w:name="footnote reference" w:uiPriority="99"/>
    <w:lsdException w:name="line number" w:locked="1"/>
    <w:lsdException w:name="macro" w:locked="1"/>
    <w:lsdException w:name="List 3" w:locked="1"/>
    <w:lsdException w:name="List 4" w:locked="1"/>
    <w:lsdException w:name="List 5" w:locked="1"/>
    <w:lsdException w:name="List Bullet 3" w:locked="1"/>
    <w:lsdException w:name="List Bullet 4" w:locked="1"/>
    <w:lsdException w:name="List Bullet 5" w:locked="1"/>
    <w:lsdException w:name="List Number 3" w:locked="1"/>
    <w:lsdException w:name="List Number 4" w:locked="1"/>
    <w:lsdException w:name="List Number 5" w:locked="1"/>
    <w:lsdException w:name="Title"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Body Text First Indent" w:locked="1"/>
    <w:lsdException w:name="Body Text First Indent 2" w:locked="1"/>
    <w:lsdException w:name="Body Text 2" w:locked="1"/>
    <w:lsdException w:name="Body Text Indent 2" w:locked="1"/>
    <w:lsdException w:name="Body Text Indent 3" w:locked="1"/>
    <w:lsdException w:name="Block Text" w:locked="1"/>
    <w:lsdException w:name="Hyperlink" w:uiPriority="99"/>
    <w:lsdException w:name="Strong" w:locked="1" w:qFormat="1"/>
    <w:lsdException w:name="Emphasis" w:locked="1" w:qFormat="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next w:val="Normal"/>
    <w:qFormat/>
    <w:rsid w:val="00D7586B"/>
    <w:pPr>
      <w:keepNext/>
      <w:numPr>
        <w:numId w:val="37"/>
      </w:numPr>
      <w:spacing w:before="240" w:after="60"/>
      <w:outlineLvl w:val="0"/>
    </w:pPr>
    <w:rPr>
      <w:rFonts w:ascii="Arial Narrow" w:hAnsi="Arial Narrow"/>
      <w:b/>
      <w:kern w:val="28"/>
      <w:sz w:val="36"/>
      <w:lang w:eastAsia="en-US"/>
    </w:rPr>
  </w:style>
  <w:style w:type="paragraph" w:styleId="Heading2">
    <w:name w:val="heading 2"/>
    <w:basedOn w:val="Heading1"/>
    <w:next w:val="Normal"/>
    <w:qFormat/>
    <w:rsid w:val="00D7586B"/>
    <w:pPr>
      <w:numPr>
        <w:ilvl w:val="1"/>
      </w:numPr>
      <w:outlineLvl w:val="1"/>
    </w:pPr>
    <w:rPr>
      <w:caps/>
      <w:sz w:val="28"/>
    </w:rPr>
  </w:style>
  <w:style w:type="paragraph" w:styleId="Heading3">
    <w:name w:val="heading 3"/>
    <w:basedOn w:val="Heading2"/>
    <w:next w:val="Normal"/>
    <w:qFormat/>
    <w:rsid w:val="00D7586B"/>
    <w:pPr>
      <w:numPr>
        <w:ilvl w:val="2"/>
      </w:numPr>
      <w:outlineLvl w:val="2"/>
    </w:pPr>
    <w:rPr>
      <w:caps w:val="0"/>
      <w:sz w:val="24"/>
    </w:rPr>
  </w:style>
  <w:style w:type="paragraph" w:styleId="Heading4">
    <w:name w:val="heading 4"/>
    <w:basedOn w:val="Normal"/>
    <w:next w:val="Normal"/>
    <w:qFormat/>
    <w:rsid w:val="00D7586B"/>
    <w:pPr>
      <w:keepNext/>
      <w:spacing w:before="240" w:after="60"/>
      <w:outlineLvl w:val="3"/>
    </w:pPr>
    <w:rPr>
      <w:rFonts w:ascii="Arial Narrow" w:hAnsi="Arial Narrow"/>
      <w:i/>
    </w:rPr>
  </w:style>
  <w:style w:type="paragraph" w:styleId="Heading5">
    <w:name w:val="heading 5"/>
    <w:basedOn w:val="Normal"/>
    <w:next w:val="Normal"/>
    <w:link w:val="Heading5Char"/>
    <w:semiHidden/>
    <w:unhideWhenUsed/>
    <w:qFormat/>
    <w:locked/>
    <w:rsid w:val="00D7586B"/>
    <w:pPr>
      <w:numPr>
        <w:ilvl w:val="4"/>
        <w:numId w:val="37"/>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D7586B"/>
    <w:pPr>
      <w:numPr>
        <w:ilvl w:val="5"/>
        <w:numId w:val="3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D7586B"/>
    <w:pPr>
      <w:numPr>
        <w:ilvl w:val="6"/>
        <w:numId w:val="37"/>
      </w:numPr>
      <w:spacing w:before="240" w:after="60"/>
      <w:outlineLvl w:val="6"/>
    </w:pPr>
    <w:rPr>
      <w:rFonts w:ascii="Calibri" w:hAnsi="Calibri"/>
      <w:szCs w:val="24"/>
    </w:rPr>
  </w:style>
  <w:style w:type="paragraph" w:styleId="Heading8">
    <w:name w:val="heading 8"/>
    <w:basedOn w:val="Normal"/>
    <w:next w:val="Normal"/>
    <w:link w:val="Heading8Char"/>
    <w:semiHidden/>
    <w:unhideWhenUsed/>
    <w:qFormat/>
    <w:locked/>
    <w:rsid w:val="00D7586B"/>
    <w:pPr>
      <w:numPr>
        <w:ilvl w:val="7"/>
        <w:numId w:val="37"/>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locked/>
    <w:rsid w:val="00D7586B"/>
    <w:pPr>
      <w:numPr>
        <w:ilvl w:val="8"/>
        <w:numId w:val="3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HeadingLevel1">
    <w:name w:val="Contents Heading Level 1"/>
    <w:basedOn w:val="Normal"/>
    <w:rPr>
      <w:b/>
    </w:rPr>
  </w:style>
  <w:style w:type="paragraph" w:customStyle="1" w:styleId="ContentsHeadingLevel2">
    <w:name w:val="Contents Heading Level 2"/>
    <w:basedOn w:val="Normal"/>
  </w:style>
  <w:style w:type="paragraph" w:customStyle="1" w:styleId="ContentsHeadingLevel3">
    <w:name w:val="Contents Heading Level 3"/>
    <w:basedOn w:val="Normal"/>
    <w:pPr>
      <w:ind w:left="284"/>
    </w:pPr>
    <w:rPr>
      <w:sz w:val="20"/>
    </w:rPr>
  </w:style>
  <w:style w:type="paragraph" w:customStyle="1" w:styleId="ContentsPageNo">
    <w:name w:val="Contents Page No."/>
    <w:basedOn w:val="Normal"/>
    <w:pPr>
      <w:ind w:left="2552" w:right="3119"/>
    </w:pPr>
  </w:style>
  <w:style w:type="paragraph" w:styleId="FootnoteText">
    <w:name w:val="footnote text"/>
    <w:basedOn w:val="Normal"/>
    <w:link w:val="FootnoteTextChar"/>
    <w:uiPriority w:val="99"/>
    <w:rPr>
      <w:sz w:val="16"/>
    </w:rPr>
  </w:style>
  <w:style w:type="paragraph" w:styleId="ListBullet">
    <w:name w:val="List Bullet"/>
    <w:basedOn w:val="Normal"/>
    <w:autoRedefine/>
    <w:pPr>
      <w:numPr>
        <w:numId w:val="26"/>
      </w:numPr>
    </w:pPr>
  </w:style>
  <w:style w:type="paragraph" w:customStyle="1" w:styleId="PageNo">
    <w:name w:val="Page No."/>
    <w:basedOn w:val="Normal"/>
    <w:pPr>
      <w:ind w:left="2552" w:right="3119"/>
    </w:pPr>
  </w:style>
  <w:style w:type="paragraph" w:customStyle="1" w:styleId="TableColumnHeadings">
    <w:name w:val="Table Column Headings"/>
    <w:basedOn w:val="Normal"/>
    <w:rsid w:val="00231D6D"/>
    <w:pPr>
      <w:spacing w:before="60" w:after="60"/>
    </w:pPr>
    <w:rPr>
      <w:rFonts w:ascii="Arial Narrow" w:hAnsi="Arial Narrow"/>
      <w:b/>
      <w:sz w:val="20"/>
    </w:rPr>
  </w:style>
  <w:style w:type="paragraph" w:customStyle="1" w:styleId="TableMainTitle">
    <w:name w:val="Table Main Title"/>
    <w:basedOn w:val="Normal"/>
    <w:uiPriority w:val="99"/>
    <w:rsid w:val="009D78E1"/>
    <w:rPr>
      <w:rFonts w:ascii="Arial Narrow" w:hAnsi="Arial Narrow"/>
      <w:b/>
    </w:rPr>
  </w:style>
  <w:style w:type="paragraph" w:customStyle="1" w:styleId="TableNote">
    <w:name w:val="Table Note"/>
    <w:basedOn w:val="Normal"/>
    <w:rPr>
      <w:rFonts w:ascii="Arial Narrow" w:hAnsi="Arial Narrow"/>
      <w:sz w:val="16"/>
    </w:rPr>
  </w:style>
  <w:style w:type="paragraph" w:customStyle="1" w:styleId="TableSource">
    <w:name w:val="Table Source"/>
    <w:basedOn w:val="Normal"/>
    <w:locked/>
    <w:pPr>
      <w:jc w:val="right"/>
    </w:pPr>
    <w:rPr>
      <w:i/>
      <w:sz w:val="16"/>
    </w:rPr>
  </w:style>
  <w:style w:type="paragraph" w:customStyle="1" w:styleId="TableTotals">
    <w:name w:val="Table Totals"/>
    <w:basedOn w:val="Normal"/>
    <w:rPr>
      <w:rFonts w:ascii="Arial Narrow" w:hAnsi="Arial Narrow"/>
      <w:b/>
      <w:sz w:val="20"/>
    </w:rPr>
  </w:style>
  <w:style w:type="paragraph" w:customStyle="1" w:styleId="TablesText">
    <w:name w:val="Tables Text"/>
    <w:basedOn w:val="Normal"/>
    <w:rPr>
      <w:rFonts w:ascii="Arial Narrow" w:hAnsi="Arial Narrow"/>
      <w:sz w:val="20"/>
    </w:rPr>
  </w:style>
  <w:style w:type="paragraph" w:customStyle="1" w:styleId="Contents">
    <w:name w:val="Contents"/>
    <w:basedOn w:val="Normal"/>
    <w:rsid w:val="00231D6D"/>
    <w:pPr>
      <w:pBdr>
        <w:bottom w:val="single" w:sz="4" w:space="1" w:color="auto"/>
      </w:pBdr>
      <w:tabs>
        <w:tab w:val="right" w:pos="9071"/>
      </w:tabs>
    </w:pPr>
    <w:rPr>
      <w:rFonts w:ascii="Arial Narrow" w:hAnsi="Arial Narrow"/>
      <w:b/>
      <w:sz w:val="36"/>
    </w:rPr>
  </w:style>
  <w:style w:type="paragraph" w:customStyle="1" w:styleId="Textonaxes">
    <w:name w:val="Text (on axes"/>
    <w:aliases w:val="data lables)"/>
    <w:basedOn w:val="Normal"/>
    <w:locked/>
    <w:rPr>
      <w:rFonts w:ascii="Arial Narrow" w:hAnsi="Arial Narrow"/>
      <w:sz w:val="16"/>
    </w:rPr>
  </w:style>
  <w:style w:type="paragraph" w:customStyle="1" w:styleId="Axestitles">
    <w:name w:val="Axes titles"/>
    <w:basedOn w:val="Normal"/>
    <w:semiHidden/>
    <w:locked/>
    <w:rPr>
      <w:rFonts w:ascii="Arial Narrow" w:hAnsi="Arial Narrow"/>
      <w:b/>
      <w:sz w:val="16"/>
    </w:rPr>
  </w:style>
  <w:style w:type="paragraph" w:customStyle="1" w:styleId="FaxHeader">
    <w:name w:val="FaxHeader"/>
    <w:semiHidden/>
    <w:locked/>
    <w:pPr>
      <w:tabs>
        <w:tab w:val="left" w:pos="4800"/>
      </w:tabs>
      <w:spacing w:before="60" w:after="60"/>
      <w:ind w:left="1599" w:hanging="1599"/>
    </w:pPr>
    <w:rPr>
      <w:rFonts w:ascii="Arial" w:hAnsi="Arial"/>
      <w:sz w:val="24"/>
      <w:lang w:val="en-GB" w:eastAsia="en-US"/>
    </w:rPr>
  </w:style>
  <w:style w:type="paragraph" w:styleId="Footer">
    <w:name w:val="footer"/>
    <w:basedOn w:val="Normal"/>
    <w:link w:val="FooterChar"/>
    <w:uiPriority w:val="99"/>
    <w:rsid w:val="00C57E79"/>
    <w:pPr>
      <w:tabs>
        <w:tab w:val="center" w:pos="4320"/>
        <w:tab w:val="right" w:pos="8640"/>
      </w:tabs>
    </w:pPr>
    <w:rPr>
      <w:rFonts w:ascii="Arial Narrow" w:hAnsi="Arial Narrow"/>
      <w:sz w:val="18"/>
    </w:rPr>
  </w:style>
  <w:style w:type="paragraph" w:styleId="Header">
    <w:name w:val="header"/>
    <w:basedOn w:val="Normal"/>
    <w:link w:val="HeaderChar"/>
    <w:uiPriority w:val="99"/>
    <w:pPr>
      <w:tabs>
        <w:tab w:val="center" w:pos="4320"/>
        <w:tab w:val="right" w:pos="8640"/>
      </w:tabs>
    </w:pPr>
  </w:style>
  <w:style w:type="paragraph" w:customStyle="1" w:styleId="Page">
    <w:name w:val="Page"/>
    <w:basedOn w:val="Normal"/>
    <w:rsid w:val="00231D6D"/>
  </w:style>
  <w:style w:type="character" w:styleId="PageNumber">
    <w:name w:val="page number"/>
    <w:basedOn w:val="DefaultParagraphFont"/>
    <w:rsid w:val="00C57E79"/>
    <w:rPr>
      <w:rFonts w:ascii="Arial Narrow" w:hAnsi="Arial Narrow"/>
      <w:sz w:val="18"/>
    </w:rPr>
  </w:style>
  <w:style w:type="paragraph" w:styleId="BodyText3">
    <w:name w:val="Body Text 3"/>
    <w:basedOn w:val="Normal"/>
    <w:semiHidden/>
    <w:locked/>
    <w:pPr>
      <w:ind w:right="1395"/>
    </w:pPr>
  </w:style>
  <w:style w:type="paragraph" w:styleId="BodyText">
    <w:name w:val="Body Text"/>
    <w:basedOn w:val="Normal"/>
    <w:semiHidden/>
    <w:locked/>
    <w:pPr>
      <w:ind w:left="567"/>
      <w:jc w:val="both"/>
    </w:pPr>
  </w:style>
  <w:style w:type="paragraph" w:customStyle="1" w:styleId="BlockQuotation">
    <w:name w:val="Block Quotation"/>
    <w:basedOn w:val="BodyText"/>
    <w:semiHidden/>
    <w:locked/>
    <w:pPr>
      <w:keepLines/>
      <w:spacing w:line="220" w:lineRule="atLeast"/>
      <w:ind w:left="1440" w:right="720"/>
    </w:pPr>
    <w:rPr>
      <w:i/>
      <w:lang w:val="en-US"/>
    </w:rPr>
  </w:style>
  <w:style w:type="paragraph" w:styleId="TOC1">
    <w:name w:val="toc 1"/>
    <w:basedOn w:val="Normal"/>
    <w:uiPriority w:val="39"/>
    <w:locked/>
    <w:rsid w:val="002E3232"/>
    <w:pPr>
      <w:tabs>
        <w:tab w:val="right" w:pos="9072"/>
      </w:tabs>
      <w:spacing w:before="240"/>
      <w:ind w:left="567" w:hanging="567"/>
    </w:pPr>
    <w:rPr>
      <w:rFonts w:ascii="Arial Narrow" w:hAnsi="Arial Narrow"/>
      <w:b/>
      <w:noProof/>
    </w:rPr>
  </w:style>
  <w:style w:type="paragraph" w:styleId="TOC2">
    <w:name w:val="toc 2"/>
    <w:basedOn w:val="TOC1"/>
    <w:uiPriority w:val="39"/>
    <w:locked/>
    <w:rsid w:val="008B34A6"/>
    <w:pPr>
      <w:spacing w:before="0"/>
    </w:pPr>
    <w:rPr>
      <w:b w:val="0"/>
    </w:rPr>
  </w:style>
  <w:style w:type="paragraph" w:customStyle="1" w:styleId="FootnoteBase">
    <w:name w:val="Footnote Base"/>
    <w:basedOn w:val="Normal"/>
    <w:rsid w:val="00231D6D"/>
    <w:pPr>
      <w:spacing w:before="240"/>
    </w:pPr>
    <w:rPr>
      <w:sz w:val="18"/>
    </w:rPr>
  </w:style>
  <w:style w:type="paragraph" w:styleId="ListNumber">
    <w:name w:val="List Number"/>
    <w:basedOn w:val="List"/>
    <w:rsid w:val="00C1350F"/>
    <w:pPr>
      <w:numPr>
        <w:numId w:val="24"/>
      </w:numPr>
      <w:tabs>
        <w:tab w:val="clear" w:pos="1778"/>
      </w:tabs>
      <w:ind w:left="425" w:hanging="425"/>
    </w:pPr>
  </w:style>
  <w:style w:type="paragraph" w:styleId="List">
    <w:name w:val="List"/>
    <w:basedOn w:val="Normal"/>
    <w:pPr>
      <w:ind w:left="283" w:hanging="283"/>
    </w:pPr>
  </w:style>
  <w:style w:type="paragraph" w:styleId="Index1">
    <w:name w:val="index 1"/>
    <w:basedOn w:val="Normal"/>
    <w:next w:val="Normal"/>
    <w:autoRedefine/>
    <w:semiHidden/>
    <w:locked/>
    <w:pPr>
      <w:ind w:left="240" w:hanging="240"/>
    </w:pPr>
  </w:style>
  <w:style w:type="paragraph" w:styleId="Index2">
    <w:name w:val="index 2"/>
    <w:basedOn w:val="Normal"/>
    <w:next w:val="Normal"/>
    <w:autoRedefine/>
    <w:semiHidden/>
    <w:locked/>
    <w:pPr>
      <w:ind w:left="480" w:hanging="240"/>
    </w:pPr>
  </w:style>
  <w:style w:type="paragraph" w:styleId="Index3">
    <w:name w:val="index 3"/>
    <w:basedOn w:val="Normal"/>
    <w:next w:val="Normal"/>
    <w:autoRedefine/>
    <w:semiHidden/>
    <w:locked/>
    <w:pPr>
      <w:ind w:left="720" w:hanging="240"/>
    </w:pPr>
  </w:style>
  <w:style w:type="paragraph" w:styleId="Index4">
    <w:name w:val="index 4"/>
    <w:basedOn w:val="Normal"/>
    <w:next w:val="Normal"/>
    <w:autoRedefine/>
    <w:semiHidden/>
    <w:locked/>
    <w:pPr>
      <w:ind w:left="960" w:hanging="240"/>
    </w:pPr>
  </w:style>
  <w:style w:type="paragraph" w:styleId="Index5">
    <w:name w:val="index 5"/>
    <w:basedOn w:val="Normal"/>
    <w:next w:val="Normal"/>
    <w:autoRedefine/>
    <w:semiHidden/>
    <w:locked/>
    <w:pPr>
      <w:ind w:left="1200" w:hanging="240"/>
    </w:pPr>
  </w:style>
  <w:style w:type="paragraph" w:styleId="Index6">
    <w:name w:val="index 6"/>
    <w:basedOn w:val="Normal"/>
    <w:next w:val="Normal"/>
    <w:autoRedefine/>
    <w:semiHidden/>
    <w:locked/>
    <w:pPr>
      <w:ind w:left="1440" w:hanging="240"/>
    </w:pPr>
  </w:style>
  <w:style w:type="paragraph" w:styleId="Index7">
    <w:name w:val="index 7"/>
    <w:basedOn w:val="Normal"/>
    <w:next w:val="Normal"/>
    <w:autoRedefine/>
    <w:semiHidden/>
    <w:locked/>
    <w:pPr>
      <w:ind w:left="1680" w:hanging="240"/>
    </w:pPr>
  </w:style>
  <w:style w:type="paragraph" w:styleId="Index8">
    <w:name w:val="index 8"/>
    <w:basedOn w:val="Normal"/>
    <w:next w:val="Normal"/>
    <w:autoRedefine/>
    <w:semiHidden/>
    <w:locked/>
    <w:pPr>
      <w:ind w:left="1920" w:hanging="240"/>
    </w:pPr>
  </w:style>
  <w:style w:type="paragraph" w:styleId="Index9">
    <w:name w:val="index 9"/>
    <w:basedOn w:val="Normal"/>
    <w:next w:val="Normal"/>
    <w:autoRedefine/>
    <w:semiHidden/>
    <w:locked/>
    <w:pPr>
      <w:ind w:left="2160" w:hanging="240"/>
    </w:pPr>
  </w:style>
  <w:style w:type="paragraph" w:styleId="IndexHeading">
    <w:name w:val="index heading"/>
    <w:basedOn w:val="Normal"/>
    <w:next w:val="Index1"/>
    <w:semiHidden/>
    <w:locked/>
  </w:style>
  <w:style w:type="paragraph" w:customStyle="1" w:styleId="ReturnAddress">
    <w:name w:val="Return Address"/>
    <w:basedOn w:val="Normal"/>
    <w:pPr>
      <w:jc w:val="center"/>
    </w:pPr>
    <w:rPr>
      <w:spacing w:val="-3"/>
      <w:sz w:val="20"/>
      <w:lang w:val="en-AU"/>
    </w:rPr>
  </w:style>
  <w:style w:type="paragraph" w:customStyle="1" w:styleId="TOC20">
    <w:name w:val="TOC2"/>
    <w:basedOn w:val="TOC1"/>
    <w:rsid w:val="00C60C7F"/>
    <w:pPr>
      <w:spacing w:before="0"/>
    </w:pPr>
    <w:rPr>
      <w:b w:val="0"/>
    </w:rPr>
  </w:style>
  <w:style w:type="paragraph" w:customStyle="1" w:styleId="TOC10">
    <w:name w:val="TOC1"/>
    <w:basedOn w:val="TOC20"/>
    <w:rsid w:val="007B752C"/>
    <w:pPr>
      <w:spacing w:before="240"/>
    </w:pPr>
    <w:rPr>
      <w:b/>
    </w:rPr>
  </w:style>
  <w:style w:type="paragraph" w:styleId="Title">
    <w:name w:val="Title"/>
    <w:basedOn w:val="Normal"/>
    <w:link w:val="TitleChar"/>
    <w:qFormat/>
    <w:rsid w:val="00B72DD3"/>
    <w:pPr>
      <w:spacing w:before="240" w:after="60"/>
    </w:pPr>
    <w:rPr>
      <w:rFonts w:ascii="Arial Narrow" w:hAnsi="Arial Narrow" w:cs="Arial"/>
      <w:b/>
      <w:bCs/>
      <w:kern w:val="28"/>
      <w:sz w:val="48"/>
      <w:szCs w:val="32"/>
    </w:rPr>
  </w:style>
  <w:style w:type="character" w:customStyle="1" w:styleId="TitleChar">
    <w:name w:val="Title Char"/>
    <w:basedOn w:val="DefaultParagraphFont"/>
    <w:link w:val="Title"/>
    <w:rsid w:val="00B72DD3"/>
    <w:rPr>
      <w:rFonts w:ascii="Arial Narrow" w:hAnsi="Arial Narrow" w:cs="Arial"/>
      <w:b/>
      <w:bCs/>
      <w:kern w:val="28"/>
      <w:sz w:val="48"/>
      <w:szCs w:val="32"/>
      <w:lang w:val="en-NZ" w:eastAsia="en-US" w:bidi="ar-SA"/>
    </w:rPr>
  </w:style>
  <w:style w:type="paragraph" w:styleId="Subtitle">
    <w:name w:val="Subtitle"/>
    <w:basedOn w:val="Normal"/>
    <w:qFormat/>
    <w:rsid w:val="009F7A2D"/>
    <w:pPr>
      <w:spacing w:after="60"/>
    </w:pPr>
    <w:rPr>
      <w:rFonts w:ascii="Arial Narrow" w:hAnsi="Arial Narrow" w:cs="Arial"/>
      <w:b/>
      <w:sz w:val="28"/>
      <w:szCs w:val="24"/>
    </w:rPr>
  </w:style>
  <w:style w:type="paragraph" w:customStyle="1" w:styleId="ISBN">
    <w:name w:val="ISBN"/>
    <w:basedOn w:val="Normal"/>
    <w:rsid w:val="00C57E79"/>
    <w:rPr>
      <w:rFonts w:ascii="Arial Narrow" w:hAnsi="Arial Narrow"/>
    </w:rPr>
  </w:style>
  <w:style w:type="paragraph" w:customStyle="1" w:styleId="Date-frontpage">
    <w:name w:val="Date-front page"/>
    <w:basedOn w:val="ReturnAddress"/>
    <w:rsid w:val="009F7A2D"/>
    <w:pPr>
      <w:jc w:val="left"/>
    </w:pPr>
    <w:rPr>
      <w:rFonts w:ascii="Arial Narrow" w:hAnsi="Arial Narrow"/>
      <w:b/>
      <w:sz w:val="24"/>
    </w:rPr>
  </w:style>
  <w:style w:type="paragraph" w:customStyle="1" w:styleId="Disclaimer">
    <w:name w:val="Disclaimer"/>
    <w:basedOn w:val="Normal"/>
    <w:rsid w:val="00C57E79"/>
    <w:pPr>
      <w:ind w:right="1395"/>
    </w:pPr>
    <w:rPr>
      <w:rFonts w:ascii="Arial Narrow" w:hAnsi="Arial Narrow"/>
      <w:b/>
      <w:sz w:val="36"/>
    </w:rPr>
  </w:style>
  <w:style w:type="paragraph" w:styleId="ListBullet2">
    <w:name w:val="List Bullet 2"/>
    <w:basedOn w:val="Normal"/>
    <w:rsid w:val="00C57E79"/>
    <w:pPr>
      <w:numPr>
        <w:numId w:val="35"/>
      </w:numPr>
    </w:pPr>
  </w:style>
  <w:style w:type="paragraph" w:styleId="ListNumber2">
    <w:name w:val="List Number 2"/>
    <w:basedOn w:val="Normal"/>
    <w:rsid w:val="00C57E79"/>
    <w:pPr>
      <w:numPr>
        <w:numId w:val="36"/>
      </w:numPr>
      <w:tabs>
        <w:tab w:val="clear" w:pos="284"/>
        <w:tab w:val="num" w:pos="851"/>
      </w:tabs>
      <w:ind w:left="851" w:hanging="426"/>
    </w:pPr>
  </w:style>
  <w:style w:type="table" w:styleId="TableGrid">
    <w:name w:val="Table Grid"/>
    <w:basedOn w:val="TableNormal"/>
    <w:semiHidden/>
    <w:locked/>
    <w:rsid w:val="00231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centred">
    <w:name w:val="Table Column Headings centred"/>
    <w:basedOn w:val="TableColumnHeadings"/>
    <w:rsid w:val="00231D6D"/>
    <w:pPr>
      <w:tabs>
        <w:tab w:val="left" w:pos="1005"/>
      </w:tabs>
      <w:jc w:val="center"/>
    </w:pPr>
  </w:style>
  <w:style w:type="paragraph" w:customStyle="1" w:styleId="TablesTextdecimalaligned">
    <w:name w:val="Tables Text decimal aligned"/>
    <w:basedOn w:val="TablesText"/>
    <w:rsid w:val="00231D6D"/>
    <w:pPr>
      <w:tabs>
        <w:tab w:val="decimal" w:pos="1365"/>
      </w:tabs>
    </w:pPr>
  </w:style>
  <w:style w:type="character" w:customStyle="1" w:styleId="Bold">
    <w:name w:val="Bold"/>
    <w:basedOn w:val="DefaultParagraphFont"/>
    <w:rsid w:val="00231D6D"/>
    <w:rPr>
      <w:b/>
    </w:rPr>
  </w:style>
  <w:style w:type="character" w:customStyle="1" w:styleId="Italic">
    <w:name w:val="Italic"/>
    <w:basedOn w:val="DefaultParagraphFont"/>
    <w:rsid w:val="00231D6D"/>
    <w:rPr>
      <w:i/>
    </w:rPr>
  </w:style>
  <w:style w:type="character" w:customStyle="1" w:styleId="BoldItalic">
    <w:name w:val="Bold Italic"/>
    <w:basedOn w:val="DefaultParagraphFont"/>
    <w:rsid w:val="00231D6D"/>
    <w:rPr>
      <w:b/>
      <w:i/>
    </w:rPr>
  </w:style>
  <w:style w:type="character" w:customStyle="1" w:styleId="superscript">
    <w:name w:val="superscript"/>
    <w:basedOn w:val="DefaultParagraphFont"/>
    <w:rsid w:val="004D1673"/>
    <w:rPr>
      <w:vertAlign w:val="superscript"/>
    </w:rPr>
  </w:style>
  <w:style w:type="character" w:customStyle="1" w:styleId="subscript">
    <w:name w:val="subscript"/>
    <w:basedOn w:val="superscript"/>
    <w:rsid w:val="004D1673"/>
    <w:rPr>
      <w:vertAlign w:val="subscript"/>
    </w:rPr>
  </w:style>
  <w:style w:type="character" w:styleId="FollowedHyperlink">
    <w:name w:val="FollowedHyperlink"/>
    <w:basedOn w:val="DefaultParagraphFont"/>
    <w:rsid w:val="007075EB"/>
    <w:rPr>
      <w:color w:val="800080"/>
      <w:u w:val="single"/>
    </w:rPr>
  </w:style>
  <w:style w:type="character" w:styleId="Hyperlink">
    <w:name w:val="Hyperlink"/>
    <w:basedOn w:val="DefaultParagraphFont"/>
    <w:uiPriority w:val="99"/>
    <w:rsid w:val="006C57DB"/>
    <w:rPr>
      <w:color w:val="0000FF"/>
      <w:u w:val="single"/>
    </w:rPr>
  </w:style>
  <w:style w:type="character" w:customStyle="1" w:styleId="Heading5Char">
    <w:name w:val="Heading 5 Char"/>
    <w:basedOn w:val="DefaultParagraphFont"/>
    <w:link w:val="Heading5"/>
    <w:semiHidden/>
    <w:rsid w:val="00D7586B"/>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semiHidden/>
    <w:rsid w:val="00D7586B"/>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semiHidden/>
    <w:rsid w:val="00D7586B"/>
    <w:rPr>
      <w:rFonts w:ascii="Calibri" w:eastAsia="Times New Roman" w:hAnsi="Calibri" w:cs="Times New Roman"/>
      <w:sz w:val="24"/>
      <w:szCs w:val="24"/>
      <w:lang w:eastAsia="en-US"/>
    </w:rPr>
  </w:style>
  <w:style w:type="character" w:customStyle="1" w:styleId="Heading8Char">
    <w:name w:val="Heading 8 Char"/>
    <w:basedOn w:val="DefaultParagraphFont"/>
    <w:link w:val="Heading8"/>
    <w:semiHidden/>
    <w:rsid w:val="00D7586B"/>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semiHidden/>
    <w:rsid w:val="00D7586B"/>
    <w:rPr>
      <w:rFonts w:ascii="Cambria" w:eastAsia="Times New Roman" w:hAnsi="Cambria" w:cs="Times New Roman"/>
      <w:sz w:val="22"/>
      <w:szCs w:val="22"/>
      <w:lang w:eastAsia="en-US"/>
    </w:rPr>
  </w:style>
  <w:style w:type="paragraph" w:customStyle="1" w:styleId="FAPHeadingThree">
    <w:name w:val="FAP Heading Three"/>
    <w:basedOn w:val="ListParagraph"/>
    <w:uiPriority w:val="99"/>
    <w:rsid w:val="00A84C22"/>
    <w:pPr>
      <w:ind w:left="0"/>
      <w:jc w:val="both"/>
    </w:pPr>
    <w:rPr>
      <w:rFonts w:ascii="Arial" w:hAnsi="Arial" w:cs="Arial"/>
      <w:i/>
      <w:sz w:val="22"/>
      <w:szCs w:val="22"/>
      <w:u w:val="single"/>
    </w:rPr>
  </w:style>
  <w:style w:type="paragraph" w:styleId="ListParagraph">
    <w:name w:val="List Paragraph"/>
    <w:basedOn w:val="Normal"/>
    <w:link w:val="ListParagraphChar"/>
    <w:uiPriority w:val="34"/>
    <w:qFormat/>
    <w:rsid w:val="00A84C22"/>
    <w:pPr>
      <w:ind w:left="720"/>
      <w:contextualSpacing/>
    </w:pPr>
  </w:style>
  <w:style w:type="character" w:styleId="FootnoteReference">
    <w:name w:val="footnote reference"/>
    <w:basedOn w:val="DefaultParagraphFont"/>
    <w:uiPriority w:val="99"/>
    <w:rsid w:val="004412A2"/>
    <w:rPr>
      <w:rFonts w:cs="Times New Roman"/>
      <w:vertAlign w:val="superscript"/>
    </w:rPr>
  </w:style>
  <w:style w:type="character" w:customStyle="1" w:styleId="FootnoteTextChar">
    <w:name w:val="Footnote Text Char"/>
    <w:basedOn w:val="DefaultParagraphFont"/>
    <w:link w:val="FootnoteText"/>
    <w:uiPriority w:val="99"/>
    <w:rsid w:val="004412A2"/>
    <w:rPr>
      <w:sz w:val="16"/>
      <w:lang w:eastAsia="en-US"/>
    </w:rPr>
  </w:style>
  <w:style w:type="character" w:customStyle="1" w:styleId="ListParagraphChar">
    <w:name w:val="List Paragraph Char"/>
    <w:basedOn w:val="DefaultParagraphFont"/>
    <w:link w:val="ListParagraph"/>
    <w:uiPriority w:val="34"/>
    <w:locked/>
    <w:rsid w:val="00185CEB"/>
    <w:rPr>
      <w:sz w:val="24"/>
      <w:lang w:eastAsia="en-US"/>
    </w:rPr>
  </w:style>
  <w:style w:type="character" w:styleId="CommentReference">
    <w:name w:val="annotation reference"/>
    <w:basedOn w:val="DefaultParagraphFont"/>
    <w:rsid w:val="007C06D6"/>
    <w:rPr>
      <w:sz w:val="16"/>
      <w:szCs w:val="16"/>
    </w:rPr>
  </w:style>
  <w:style w:type="paragraph" w:styleId="CommentText">
    <w:name w:val="annotation text"/>
    <w:basedOn w:val="Normal"/>
    <w:link w:val="CommentTextChar"/>
    <w:rsid w:val="007C06D6"/>
    <w:rPr>
      <w:sz w:val="20"/>
    </w:rPr>
  </w:style>
  <w:style w:type="character" w:customStyle="1" w:styleId="CommentTextChar">
    <w:name w:val="Comment Text Char"/>
    <w:basedOn w:val="DefaultParagraphFont"/>
    <w:link w:val="CommentText"/>
    <w:rsid w:val="007C06D6"/>
    <w:rPr>
      <w:lang w:eastAsia="en-US"/>
    </w:rPr>
  </w:style>
  <w:style w:type="paragraph" w:styleId="CommentSubject">
    <w:name w:val="annotation subject"/>
    <w:basedOn w:val="CommentText"/>
    <w:next w:val="CommentText"/>
    <w:link w:val="CommentSubjectChar"/>
    <w:rsid w:val="007C06D6"/>
    <w:rPr>
      <w:b/>
      <w:bCs/>
    </w:rPr>
  </w:style>
  <w:style w:type="character" w:customStyle="1" w:styleId="CommentSubjectChar">
    <w:name w:val="Comment Subject Char"/>
    <w:basedOn w:val="CommentTextChar"/>
    <w:link w:val="CommentSubject"/>
    <w:rsid w:val="007C06D6"/>
    <w:rPr>
      <w:b/>
      <w:bCs/>
      <w:lang w:eastAsia="en-US"/>
    </w:rPr>
  </w:style>
  <w:style w:type="paragraph" w:styleId="BalloonText">
    <w:name w:val="Balloon Text"/>
    <w:basedOn w:val="Normal"/>
    <w:link w:val="BalloonTextChar"/>
    <w:locked/>
    <w:rsid w:val="007C06D6"/>
    <w:rPr>
      <w:rFonts w:ascii="Segoe UI" w:hAnsi="Segoe UI" w:cs="Segoe UI"/>
      <w:sz w:val="18"/>
      <w:szCs w:val="18"/>
    </w:rPr>
  </w:style>
  <w:style w:type="character" w:customStyle="1" w:styleId="BalloonTextChar">
    <w:name w:val="Balloon Text Char"/>
    <w:basedOn w:val="DefaultParagraphFont"/>
    <w:link w:val="BalloonText"/>
    <w:rsid w:val="007C06D6"/>
    <w:rPr>
      <w:rFonts w:ascii="Segoe UI" w:hAnsi="Segoe UI" w:cs="Segoe UI"/>
      <w:sz w:val="18"/>
      <w:szCs w:val="18"/>
      <w:lang w:eastAsia="en-US"/>
    </w:rPr>
  </w:style>
  <w:style w:type="character" w:customStyle="1" w:styleId="HeaderChar">
    <w:name w:val="Header Char"/>
    <w:basedOn w:val="DefaultParagraphFont"/>
    <w:link w:val="Header"/>
    <w:uiPriority w:val="99"/>
    <w:locked/>
    <w:rsid w:val="005D6337"/>
    <w:rPr>
      <w:sz w:val="24"/>
      <w:lang w:eastAsia="en-US"/>
    </w:rPr>
  </w:style>
  <w:style w:type="paragraph" w:customStyle="1" w:styleId="FAPHeadingOne">
    <w:name w:val="FAP Heading One"/>
    <w:basedOn w:val="Normal"/>
    <w:link w:val="FAPHeadingOneChar"/>
    <w:qFormat/>
    <w:rsid w:val="00B653CB"/>
    <w:rPr>
      <w:rFonts w:ascii="Arial" w:hAnsi="Arial" w:cs="Arial"/>
      <w:b/>
      <w:szCs w:val="24"/>
    </w:rPr>
  </w:style>
  <w:style w:type="character" w:customStyle="1" w:styleId="FAPHeadingOneChar">
    <w:name w:val="FAP Heading One Char"/>
    <w:link w:val="FAPHeadingOne"/>
    <w:locked/>
    <w:rsid w:val="00B653CB"/>
    <w:rPr>
      <w:rFonts w:ascii="Arial" w:hAnsi="Arial" w:cs="Arial"/>
      <w:b/>
      <w:sz w:val="24"/>
      <w:szCs w:val="24"/>
      <w:lang w:eastAsia="en-US"/>
    </w:rPr>
  </w:style>
  <w:style w:type="character" w:customStyle="1" w:styleId="FooterChar">
    <w:name w:val="Footer Char"/>
    <w:link w:val="Footer"/>
    <w:uiPriority w:val="99"/>
    <w:rsid w:val="00DD150E"/>
    <w:rPr>
      <w:rFonts w:ascii="Arial Narrow" w:hAnsi="Arial Narrow"/>
      <w:sz w:val="18"/>
      <w:lang w:eastAsia="en-US"/>
    </w:rPr>
  </w:style>
  <w:style w:type="paragraph" w:styleId="TOC3">
    <w:name w:val="toc 3"/>
    <w:basedOn w:val="Normal"/>
    <w:next w:val="Normal"/>
    <w:autoRedefine/>
    <w:uiPriority w:val="39"/>
    <w:locked/>
    <w:rsid w:val="002E3232"/>
    <w:pPr>
      <w:ind w:left="480"/>
    </w:pPr>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and@mpi.govt.nz" TargetMode="Externa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FMsubmissions@mpi.govt.nz" TargetMode="Externa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pi.govt.nz/news-resources/publications.aspx" TargetMode="External"/><Relationship Id="rId22" Type="http://schemas.openxmlformats.org/officeDocument/2006/relationships/footer" Target="footer7.xml"/><Relationship Id="rId27" Type="http://schemas.openxmlformats.org/officeDocument/2006/relationships/image" Target="media/image8.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ngja\Desktop\MPI%20Templates\MPI%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0651C5176DF77499FC56E8051007AF6" ma:contentTypeVersion="21" ma:contentTypeDescription="Create a new Word Document" ma:contentTypeScope="" ma:versionID="8f844db2432491a1de4a6cef9f54cd54">
  <xsd:schema xmlns:xsd="http://www.w3.org/2001/XMLSchema" xmlns:xs="http://www.w3.org/2001/XMLSchema" xmlns:p="http://schemas.microsoft.com/office/2006/metadata/properties" xmlns:ns3="53305d22-c52c-4ebf-80a3-731614f57ab7" xmlns:ns4="01be4277-2979-4a68-876d-b92b25fceece" xmlns:ns5="http://schemas.microsoft.com/sharepoint/v4" targetNamespace="http://schemas.microsoft.com/office/2006/metadata/properties" ma:root="true" ma:fieldsID="ec681d0a642a7be118d9d9a502fbd364" ns3:_="" ns4:_="" ns5:_="">
    <xsd:import namespace="53305d22-c52c-4ebf-80a3-731614f57ab7"/>
    <xsd:import namespace="01be4277-2979-4a68-876d-b92b25fceece"/>
    <xsd:import namespace="http://schemas.microsoft.com/sharepoint/v4"/>
    <xsd:element name="properties">
      <xsd:complexType>
        <xsd:sequence>
          <xsd:element name="documentManagement">
            <xsd:complexType>
              <xsd:all>
                <xsd:element ref="ns3:MPIRegulatoryRoundType" minOccurs="0"/>
                <xsd:element ref="ns3:PingarLastProcessed" minOccurs="0"/>
                <xsd:element ref="ns3:TaxKeywordTaxHTField" minOccurs="0"/>
                <xsd:element ref="ns3:TaxCatchAll" minOccurs="0"/>
                <xsd:element ref="ns3:TaxCatchAllLabel" minOccurs="0"/>
                <xsd:element ref="ns3:od12f45513fd4debb073a8a26f4c6b4f" minOccurs="0"/>
                <xsd:element ref="ns3:g1fe1e02ea0941d1b1173a4aff436797" minOccurs="0"/>
                <xsd:element ref="ns4:C3TopicNot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5d22-c52c-4ebf-80a3-731614f57ab7" elementFormDefault="qualified">
    <xsd:import namespace="http://schemas.microsoft.com/office/2006/documentManagement/types"/>
    <xsd:import namespace="http://schemas.microsoft.com/office/infopath/2007/PartnerControls"/>
    <xsd:element name="MPIRegulatoryRoundType" ma:index="4" nillable="true" ma:displayName="Regulatory Round Type" ma:format="Dropdown" ma:internalName="MPIRegulatoryRoundType">
      <xsd:simpleType>
        <xsd:restriction base="dms:Choice">
          <xsd:enumeration value="Regulatory"/>
          <xsd:enumeration value="Round"/>
          <xsd:enumeration value="Sustainability"/>
        </xsd:restriction>
      </xsd:simpleType>
    </xsd:element>
    <xsd:element name="PingarLastProcessed" ma:index="6" nillable="true" ma:displayName="PingarLastProcessed" ma:format="DateTime" ma:internalName="PingarLastProcessed">
      <xsd:simpleType>
        <xsd:restriction base="dms:DateTime"/>
      </xsd:simpleType>
    </xsd:element>
    <xsd:element name="TaxKeywordTaxHTField" ma:index="9"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3f17bfd4-a201-437d-98ff-43d884cbcde5}" ma:internalName="TaxCatchAll" ma:showField="CatchAllData"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3f17bfd4-a201-437d-98ff-43d884cbcde5}" ma:internalName="TaxCatchAllLabel" ma:readOnly="true" ma:showField="CatchAllDataLabel"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od12f45513fd4debb073a8a26f4c6b4f" ma:index="14" nillable="true" ma:taxonomy="true" ma:internalName="od12f45513fd4debb073a8a26f4c6b4f" ma:taxonomyFieldName="PingarMPI_Terms" ma:displayName="Derived Terms" ma:fieldId="{8d12f455-13fd-4deb-b073-a8a26f4c6b4f}"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g1fe1e02ea0941d1b1173a4aff436797" ma:index="17" nillable="true" ma:taxonomy="true" ma:internalName="g1fe1e02ea0941d1b1173a4aff436797" ma:taxonomyFieldName="MPISecurityClassification" ma:displayName="Security Classification" ma:default="1;#None|cf402fa0-b6a8-49a7-a22e-a95b6152c608" ma:fieldId="{01fe1e02-ea09-41d1-b117-3a4aff436797}" ma:sspId="3bfd400a-bb0f-42a8-a885-98b592a0f767" ma:termSetId="0585e480-f249-45e9-9d9a-827200d7ed0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19" nillable="true" ma:taxonomy="true" ma:internalName="C3TopicNote" ma:taxonomyFieldName="C3Topic" ma:displayName="Topic" ma:readOnly="false" ma:fieldId="{6a3fe89f-a6dd-4490-a9c1-3ef38d67b8c7}" ma:sspId="3bfd400a-bb0f-42a8-a885-98b592a0f767" ma:termSetId="9cb9d936-a224-406d-a76a-f42f2d4a040c" ma:anchorId="c23105e8-cc7b-4e51-a705-3a8406f5b8f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772aab91-6720-4ebc-8cf2-6f1a4b79c74a</TermId>
        </TermInfo>
      </Terms>
    </C3TopicNote>
    <TaxKeywordTaxHTField xmlns="53305d22-c52c-4ebf-80a3-731614f57ab7">
      <Terms xmlns="http://schemas.microsoft.com/office/infopath/2007/PartnerControls"/>
    </TaxKeywordTaxHTField>
    <MPIRegulatoryRoundType xmlns="53305d22-c52c-4ebf-80a3-731614f57ab7">Sustainability</MPIRegulatoryRoundType>
    <od12f45513fd4debb073a8a26f4c6b4f xmlns="53305d22-c52c-4ebf-80a3-731614f57ab7">
      <Terms xmlns="http://schemas.microsoft.com/office/infopath/2007/PartnerControls"/>
    </od12f45513fd4debb073a8a26f4c6b4f>
    <PingarLastProcessed xmlns="53305d22-c52c-4ebf-80a3-731614f57ab7" xsi:nil="true"/>
    <IconOverlay xmlns="http://schemas.microsoft.com/sharepoint/v4" xsi:nil="true"/>
    <g1fe1e02ea0941d1b1173a4aff436797 xmlns="53305d22-c52c-4ebf-80a3-731614f57ab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g1fe1e02ea0941d1b1173a4aff436797>
    <TaxCatchAll xmlns="53305d22-c52c-4ebf-80a3-731614f57ab7">
      <Value>7030</Value>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144F5-7F87-4146-B511-92AB0B62E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5d22-c52c-4ebf-80a3-731614f57ab7"/>
    <ds:schemaRef ds:uri="01be4277-2979-4a68-876d-b92b25fcee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5E733-F301-4160-8AC8-D2A49053F73F}">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53305d22-c52c-4ebf-80a3-731614f57ab7"/>
    <ds:schemaRef ds:uri="http://schemas.microsoft.com/sharepoint/v4"/>
    <ds:schemaRef ds:uri="http://purl.org/dc/terms/"/>
    <ds:schemaRef ds:uri="01be4277-2979-4a68-876d-b92b25fceece"/>
    <ds:schemaRef ds:uri="http://www.w3.org/XML/1998/namespace"/>
    <ds:schemaRef ds:uri="http://purl.org/dc/elements/1.1/"/>
  </ds:schemaRefs>
</ds:datastoreItem>
</file>

<file path=customXml/itemProps3.xml><?xml version="1.0" encoding="utf-8"?>
<ds:datastoreItem xmlns:ds="http://schemas.openxmlformats.org/officeDocument/2006/customXml" ds:itemID="{E249B8D0-1DC4-4E84-BFFC-ABB17B06AA56}">
  <ds:schemaRefs>
    <ds:schemaRef ds:uri="http://schemas.microsoft.com/sharepoint/v3/contenttype/forms"/>
  </ds:schemaRefs>
</ds:datastoreItem>
</file>

<file path=customXml/itemProps4.xml><?xml version="1.0" encoding="utf-8"?>
<ds:datastoreItem xmlns:ds="http://schemas.openxmlformats.org/officeDocument/2006/customXml" ds:itemID="{4883C491-C387-4467-9AAD-64F16D95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MPI Report Template.dot</Template>
  <TotalTime>0</TotalTime>
  <Pages>17</Pages>
  <Words>3888</Words>
  <Characters>22162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Review of Management Controls for the Scampi 2 Fishery (SCI 2) in 2016</vt:lpstr>
    </vt:vector>
  </TitlesOfParts>
  <Company>Ministry of Agriculture and Forestry</Company>
  <LinksUpToDate>false</LinksUpToDate>
  <CharactersWithSpaces>25999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Management Controls for the Scampi 2 Fishery (SCI 2) in 2016</dc:title>
  <dc:subject/>
  <dc:creator>Authorised User</dc:creator>
  <cp:keywords/>
  <dc:description>2002</dc:description>
  <cp:lastModifiedBy>Sonja Hempel</cp:lastModifiedBy>
  <cp:revision>2</cp:revision>
  <cp:lastPrinted>2016-05-22T22:11:00Z</cp:lastPrinted>
  <dcterms:created xsi:type="dcterms:W3CDTF">2016-06-07T02:22:00Z</dcterms:created>
  <dcterms:modified xsi:type="dcterms:W3CDTF">2016-06-07T02:22:00Z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0x0101005496552013C0BA46BE88192D5C6EB20B00BC7B51C3C3DA487E91D1E0ED95F8C85C0050651C5176DF77499FC56E8051007AF6</vt:lpwstr>
  </property>
  <property fmtid="{D5CDD505-2E9C-101B-9397-08002B2CF9AE}" pid="3" name="MPIFishingYear">
    <vt:lpwstr/>
  </property>
  <property fmtid="{D5CDD505-2E9C-101B-9397-08002B2CF9AE}" pid="4" name="TaxKeyword">
    <vt:lpwstr/>
  </property>
  <property fmtid="{D5CDD505-2E9C-101B-9397-08002B2CF9AE}" pid="5" name="g6f5970aaae1455591eba4514e9755ef">
    <vt:lpwstr/>
  </property>
  <property fmtid="{D5CDD505-2E9C-101B-9397-08002B2CF9AE}" pid="6" name="o4e75948e675413b9688ff9fe3f48c77">
    <vt:lpwstr/>
  </property>
  <property fmtid="{D5CDD505-2E9C-101B-9397-08002B2CF9AE}" pid="7" name="MPISecurityClassification">
    <vt:lpwstr>1;#None|cf402fa0-b6a8-49a7-a22e-a95b6152c608</vt:lpwstr>
  </property>
  <property fmtid="{D5CDD505-2E9C-101B-9397-08002B2CF9AE}" pid="8" name="MPIYear">
    <vt:lpwstr/>
  </property>
  <property fmtid="{D5CDD505-2E9C-101B-9397-08002B2CF9AE}" pid="9" name="PingarMPI_Terms">
    <vt:lpwstr/>
  </property>
  <property fmtid="{D5CDD505-2E9C-101B-9397-08002B2CF9AE}" pid="10" name="C3Topic">
    <vt:lpwstr>7030;#Consultation|772aab91-6720-4ebc-8cf2-6f1a4b79c74a</vt:lpwstr>
  </property>
  <property fmtid="{D5CDD505-2E9C-101B-9397-08002B2CF9AE}" pid="11" name="c386641a8d104d09aa789607b1976b5e">
    <vt:lpwstr/>
  </property>
  <property fmtid="{D5CDD505-2E9C-101B-9397-08002B2CF9AE}" pid="12" name="MPIMonth">
    <vt:lpwstr/>
  </property>
</Properties>
</file>