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A7B95" w14:textId="77777777" w:rsidR="007075EB" w:rsidRPr="00DF306F" w:rsidRDefault="00E137AB" w:rsidP="006B434C">
      <w:pPr>
        <w:pStyle w:val="Subtitle"/>
        <w:spacing w:line="276" w:lineRule="auto"/>
        <w:rPr>
          <w:b w:val="0"/>
        </w:rPr>
      </w:pPr>
      <w:bookmarkStart w:id="0" w:name="_GoBack"/>
      <w:bookmarkEnd w:id="0"/>
      <w:r w:rsidRPr="00DF306F">
        <w:rPr>
          <w:rStyle w:val="TitleChar"/>
          <w:b/>
        </w:rPr>
        <w:t xml:space="preserve">Review of </w:t>
      </w:r>
      <w:r w:rsidR="003F2600">
        <w:rPr>
          <w:rStyle w:val="TitleChar"/>
          <w:b/>
        </w:rPr>
        <w:t>Management</w:t>
      </w:r>
      <w:r w:rsidR="003F2600" w:rsidRPr="00DF306F">
        <w:rPr>
          <w:rStyle w:val="TitleChar"/>
          <w:b/>
        </w:rPr>
        <w:t xml:space="preserve"> </w:t>
      </w:r>
      <w:r w:rsidRPr="00DF306F">
        <w:rPr>
          <w:rStyle w:val="TitleChar"/>
          <w:b/>
        </w:rPr>
        <w:t xml:space="preserve">Controls for </w:t>
      </w:r>
      <w:r w:rsidR="003E14F9">
        <w:rPr>
          <w:rStyle w:val="TitleChar"/>
          <w:b/>
        </w:rPr>
        <w:t xml:space="preserve">the </w:t>
      </w:r>
      <w:r w:rsidR="000F729C">
        <w:rPr>
          <w:rStyle w:val="TitleChar"/>
          <w:b/>
        </w:rPr>
        <w:t xml:space="preserve">Arrow </w:t>
      </w:r>
      <w:r w:rsidR="003E14F9">
        <w:rPr>
          <w:rStyle w:val="TitleChar"/>
          <w:b/>
        </w:rPr>
        <w:t>Squid Jigging</w:t>
      </w:r>
      <w:r w:rsidR="007A365D" w:rsidRPr="00DF306F">
        <w:rPr>
          <w:rStyle w:val="TitleChar"/>
          <w:b/>
        </w:rPr>
        <w:t xml:space="preserve"> Fishery </w:t>
      </w:r>
      <w:r w:rsidR="003F2600">
        <w:rPr>
          <w:rStyle w:val="TitleChar"/>
          <w:b/>
        </w:rPr>
        <w:t>(</w:t>
      </w:r>
      <w:r w:rsidR="000F729C">
        <w:rPr>
          <w:rStyle w:val="TitleChar"/>
          <w:b/>
        </w:rPr>
        <w:t>SQU</w:t>
      </w:r>
      <w:r w:rsidR="0043550C">
        <w:rPr>
          <w:rStyle w:val="TitleChar"/>
          <w:b/>
        </w:rPr>
        <w:t xml:space="preserve"> </w:t>
      </w:r>
      <w:r w:rsidR="000F729C">
        <w:rPr>
          <w:rStyle w:val="TitleChar"/>
          <w:b/>
        </w:rPr>
        <w:t>1J</w:t>
      </w:r>
      <w:r w:rsidR="003F2600">
        <w:rPr>
          <w:rStyle w:val="TitleChar"/>
          <w:b/>
        </w:rPr>
        <w:t>)</w:t>
      </w:r>
      <w:r w:rsidR="00551242">
        <w:rPr>
          <w:rStyle w:val="TitleChar"/>
          <w:b/>
        </w:rPr>
        <w:t xml:space="preserve"> in 2016</w:t>
      </w:r>
    </w:p>
    <w:p w14:paraId="721A7B96" w14:textId="77777777" w:rsidR="007075EB" w:rsidRDefault="007075EB" w:rsidP="006B434C">
      <w:pPr>
        <w:pStyle w:val="ReturnAddress"/>
        <w:spacing w:line="276" w:lineRule="auto"/>
        <w:jc w:val="left"/>
        <w:rPr>
          <w:rFonts w:ascii="Arial Narrow" w:hAnsi="Arial Narrow"/>
          <w:color w:val="808080"/>
          <w:sz w:val="24"/>
        </w:rPr>
      </w:pPr>
    </w:p>
    <w:p w14:paraId="721A7B97" w14:textId="77777777" w:rsidR="00125188" w:rsidRDefault="00125188" w:rsidP="006B434C">
      <w:pPr>
        <w:pStyle w:val="ISBN"/>
        <w:spacing w:line="276" w:lineRule="auto"/>
        <w:rPr>
          <w:lang w:val="en-AU"/>
        </w:rPr>
      </w:pPr>
      <w:r>
        <w:t xml:space="preserve">MPI Discussion Paper No: </w:t>
      </w:r>
      <w:r w:rsidR="006470E5">
        <w:rPr>
          <w:lang w:val="en-AU"/>
        </w:rPr>
        <w:t>2016</w:t>
      </w:r>
      <w:r w:rsidR="00D36217" w:rsidRPr="00D36217">
        <w:rPr>
          <w:lang w:val="en-AU"/>
        </w:rPr>
        <w:t>/12</w:t>
      </w:r>
    </w:p>
    <w:p w14:paraId="721A7B98" w14:textId="77777777" w:rsidR="00125188" w:rsidRDefault="00125188" w:rsidP="006B434C">
      <w:pPr>
        <w:pStyle w:val="ISBN"/>
        <w:spacing w:line="276" w:lineRule="auto"/>
      </w:pPr>
    </w:p>
    <w:p w14:paraId="721A7B99" w14:textId="77777777" w:rsidR="00125188" w:rsidRDefault="00125188" w:rsidP="006B434C">
      <w:pPr>
        <w:pStyle w:val="ISBN"/>
        <w:spacing w:line="276" w:lineRule="auto"/>
      </w:pPr>
    </w:p>
    <w:p w14:paraId="721A7B9A" w14:textId="77777777" w:rsidR="00125188" w:rsidRDefault="00125188" w:rsidP="006B434C">
      <w:pPr>
        <w:pStyle w:val="ISBN"/>
        <w:spacing w:line="276" w:lineRule="auto"/>
      </w:pPr>
    </w:p>
    <w:p w14:paraId="721A7B9B" w14:textId="77777777" w:rsidR="00125188" w:rsidRDefault="00125188" w:rsidP="006B434C">
      <w:pPr>
        <w:pStyle w:val="ISBN"/>
        <w:spacing w:line="276" w:lineRule="auto"/>
      </w:pPr>
      <w:r>
        <w:t xml:space="preserve">Prepared for consultation by the Ministry for Primary Industries </w:t>
      </w:r>
    </w:p>
    <w:p w14:paraId="721A7B9C" w14:textId="77777777" w:rsidR="00125188" w:rsidRDefault="00125188" w:rsidP="006B434C">
      <w:pPr>
        <w:pStyle w:val="ISBN"/>
        <w:spacing w:line="276" w:lineRule="auto"/>
      </w:pPr>
    </w:p>
    <w:p w14:paraId="721A7B9D" w14:textId="77777777" w:rsidR="00125188" w:rsidRDefault="00125188" w:rsidP="006B434C">
      <w:pPr>
        <w:pStyle w:val="ISBN"/>
        <w:spacing w:line="276" w:lineRule="auto"/>
      </w:pPr>
    </w:p>
    <w:p w14:paraId="721A7B9E" w14:textId="77777777" w:rsidR="00125188" w:rsidRPr="00D36217" w:rsidRDefault="00125188" w:rsidP="006B434C">
      <w:pPr>
        <w:pStyle w:val="ISBN"/>
        <w:spacing w:line="276" w:lineRule="auto"/>
        <w:rPr>
          <w:spacing w:val="-3"/>
          <w:lang w:val="en-AU"/>
        </w:rPr>
      </w:pPr>
      <w:r w:rsidRPr="00D36217">
        <w:t xml:space="preserve">ISBN No: </w:t>
      </w:r>
      <w:r w:rsidR="00D36217" w:rsidRPr="00D36217">
        <w:t>978-1-77665-268-6 (online)</w:t>
      </w:r>
    </w:p>
    <w:p w14:paraId="721A7B9F" w14:textId="77777777" w:rsidR="00D36217" w:rsidRPr="00D36217" w:rsidRDefault="00125188" w:rsidP="00D36217">
      <w:pPr>
        <w:pStyle w:val="ISBN"/>
      </w:pPr>
      <w:r w:rsidRPr="00D36217">
        <w:t xml:space="preserve">ISSN No: </w:t>
      </w:r>
      <w:r w:rsidR="00D36217" w:rsidRPr="00D36217">
        <w:t>2253-3907 (online)</w:t>
      </w:r>
    </w:p>
    <w:p w14:paraId="721A7BA0" w14:textId="77777777" w:rsidR="00125188" w:rsidRDefault="00125188" w:rsidP="006B434C">
      <w:pPr>
        <w:pStyle w:val="ISBN"/>
        <w:spacing w:line="276" w:lineRule="auto"/>
      </w:pPr>
    </w:p>
    <w:p w14:paraId="721A7BA1" w14:textId="77777777" w:rsidR="007075EB" w:rsidRDefault="007075EB" w:rsidP="006B434C">
      <w:pPr>
        <w:pStyle w:val="ISBN"/>
        <w:spacing w:line="276" w:lineRule="auto"/>
      </w:pPr>
    </w:p>
    <w:p w14:paraId="721A7BA2" w14:textId="77777777" w:rsidR="007075EB" w:rsidRDefault="007075EB" w:rsidP="006B434C">
      <w:pPr>
        <w:pStyle w:val="ISBN"/>
        <w:spacing w:line="276" w:lineRule="auto"/>
      </w:pPr>
    </w:p>
    <w:p w14:paraId="721A7BA3" w14:textId="77777777" w:rsidR="007075EB" w:rsidRDefault="007075EB" w:rsidP="006B434C">
      <w:pPr>
        <w:pStyle w:val="ISBN"/>
        <w:spacing w:line="276" w:lineRule="auto"/>
      </w:pPr>
    </w:p>
    <w:p w14:paraId="721A7BA4" w14:textId="77777777" w:rsidR="007075EB" w:rsidRDefault="007075EB" w:rsidP="006B434C">
      <w:pPr>
        <w:pStyle w:val="ReturnAddress"/>
        <w:spacing w:line="276" w:lineRule="auto"/>
        <w:jc w:val="left"/>
        <w:rPr>
          <w:rFonts w:ascii="Arial Narrow" w:hAnsi="Arial Narrow"/>
          <w:sz w:val="24"/>
        </w:rPr>
      </w:pPr>
    </w:p>
    <w:p w14:paraId="721A7BA5" w14:textId="77777777" w:rsidR="007075EB" w:rsidRDefault="007075EB" w:rsidP="006B434C">
      <w:pPr>
        <w:pStyle w:val="ReturnAddress"/>
        <w:spacing w:line="276" w:lineRule="auto"/>
        <w:jc w:val="left"/>
        <w:rPr>
          <w:rFonts w:ascii="Arial Narrow" w:hAnsi="Arial Narrow"/>
          <w:sz w:val="24"/>
        </w:rPr>
      </w:pPr>
    </w:p>
    <w:p w14:paraId="721A7BA6" w14:textId="77777777" w:rsidR="007075EB" w:rsidRDefault="007075EB" w:rsidP="006B434C">
      <w:pPr>
        <w:pStyle w:val="ReturnAddress"/>
        <w:spacing w:line="276" w:lineRule="auto"/>
        <w:jc w:val="left"/>
        <w:outlineLvl w:val="0"/>
        <w:rPr>
          <w:rFonts w:ascii="Arial Narrow" w:hAnsi="Arial Narrow"/>
          <w:sz w:val="24"/>
        </w:rPr>
      </w:pPr>
    </w:p>
    <w:p w14:paraId="721A7BA7" w14:textId="77777777" w:rsidR="00786686" w:rsidRPr="00471C3D" w:rsidRDefault="00346FC1" w:rsidP="006B434C">
      <w:pPr>
        <w:pStyle w:val="Date-frontpage"/>
        <w:spacing w:line="276" w:lineRule="auto"/>
        <w:sectPr w:rsidR="00786686" w:rsidRPr="00471C3D" w:rsidSect="00B72DD3">
          <w:headerReference w:type="default" r:id="rId11"/>
          <w:footerReference w:type="default" r:id="rId12"/>
          <w:pgSz w:w="11906" w:h="16838" w:code="9"/>
          <w:pgMar w:top="7371" w:right="907" w:bottom="567" w:left="4876" w:header="720" w:footer="720" w:gutter="0"/>
          <w:cols w:space="720"/>
        </w:sectPr>
      </w:pPr>
      <w:r w:rsidRPr="00346FC1">
        <w:t>June</w:t>
      </w:r>
      <w:r w:rsidR="00F6556D">
        <w:t xml:space="preserve"> </w:t>
      </w:r>
      <w:r w:rsidR="007075EB">
        <w:t>20</w:t>
      </w:r>
      <w:r w:rsidR="007B752C">
        <w:t>1</w:t>
      </w:r>
      <w:r w:rsidR="000370C0">
        <w:t>6</w:t>
      </w:r>
    </w:p>
    <w:p w14:paraId="721A7BA8" w14:textId="77777777" w:rsidR="00DF306F" w:rsidRDefault="00DF306F" w:rsidP="006B434C">
      <w:pPr>
        <w:pStyle w:val="Disclaimer"/>
        <w:spacing w:line="276" w:lineRule="auto"/>
      </w:pPr>
    </w:p>
    <w:p w14:paraId="721A7BA9" w14:textId="77777777" w:rsidR="00DF306F" w:rsidRDefault="00DF306F" w:rsidP="006B434C">
      <w:pPr>
        <w:pStyle w:val="Disclaimer"/>
        <w:spacing w:line="276" w:lineRule="auto"/>
      </w:pPr>
      <w:r>
        <w:t>Disclaimer</w:t>
      </w:r>
    </w:p>
    <w:p w14:paraId="721A7BAA" w14:textId="77777777" w:rsidR="00DF306F" w:rsidRDefault="00DF306F" w:rsidP="00530BA3">
      <w:r w:rsidRPr="001C02C0">
        <w:t>The information in this publication is not government policy. While every effort has been made to ensure the information is accurate, the Ministry for Primary Industries does not accept any responsibility or liability for error of fact, omission, interpretation or opinion that may be present, nor for the consequences of any decisions based on this information. Any view or opinion expressed does not necessarily represent the view of the Ministry for Primary Industries.</w:t>
      </w:r>
    </w:p>
    <w:p w14:paraId="721A7BAB" w14:textId="77777777" w:rsidR="00EA22AA" w:rsidRPr="001C02C0" w:rsidRDefault="00EA22AA" w:rsidP="00530BA3"/>
    <w:p w14:paraId="721A7BAC" w14:textId="77777777" w:rsidR="00DF306F" w:rsidRPr="001C02C0" w:rsidRDefault="00DF306F" w:rsidP="00530BA3">
      <w:pPr>
        <w:spacing w:afterLines="120" w:after="288"/>
      </w:pPr>
      <w:r w:rsidRPr="001C02C0">
        <w:t>Requests for further copies should be directed to:</w:t>
      </w:r>
    </w:p>
    <w:p w14:paraId="721A7BAD" w14:textId="77777777" w:rsidR="00DF306F" w:rsidRPr="001C02C0" w:rsidRDefault="00DF306F" w:rsidP="00530BA3">
      <w:pPr>
        <w:spacing w:afterLines="120" w:after="288"/>
      </w:pPr>
      <w:r w:rsidRPr="001C02C0">
        <w:t>Publications Logistics Officer</w:t>
      </w:r>
      <w:r>
        <w:br/>
      </w:r>
      <w:r w:rsidRPr="001C02C0">
        <w:t>Ministry for Primary Industries</w:t>
      </w:r>
      <w:r>
        <w:br/>
      </w:r>
      <w:r w:rsidRPr="001C02C0">
        <w:t>PO Box 2526</w:t>
      </w:r>
      <w:r>
        <w:br/>
      </w:r>
      <w:r w:rsidRPr="001C02C0">
        <w:t>WELLINGTON 6140</w:t>
      </w:r>
    </w:p>
    <w:p w14:paraId="721A7BAE" w14:textId="77777777" w:rsidR="00DF306F" w:rsidRPr="001C02C0" w:rsidRDefault="00DF306F" w:rsidP="00530BA3">
      <w:pPr>
        <w:spacing w:afterLines="120" w:after="288"/>
      </w:pPr>
      <w:r w:rsidRPr="001C02C0">
        <w:t xml:space="preserve">Email: </w:t>
      </w:r>
      <w:hyperlink r:id="rId13" w:history="1">
        <w:r w:rsidRPr="001C02C0">
          <w:rPr>
            <w:rStyle w:val="Hyperlink"/>
          </w:rPr>
          <w:t>brand@mpi.govt.nz</w:t>
        </w:r>
      </w:hyperlink>
      <w:r>
        <w:br/>
      </w:r>
      <w:r w:rsidRPr="001C02C0">
        <w:t>Telephone: 0800 00 83 33</w:t>
      </w:r>
      <w:r>
        <w:br/>
      </w:r>
      <w:r w:rsidRPr="001C02C0">
        <w:t>Facsimile: 04-894 0300</w:t>
      </w:r>
    </w:p>
    <w:p w14:paraId="721A7BAF" w14:textId="77777777" w:rsidR="00DF306F" w:rsidRPr="001C02C0" w:rsidRDefault="00DF306F" w:rsidP="00530BA3">
      <w:pPr>
        <w:spacing w:afterLines="120" w:after="288"/>
        <w:rPr>
          <w:rStyle w:val="Hyperlink"/>
        </w:rPr>
      </w:pPr>
      <w:r w:rsidRPr="001C02C0">
        <w:t xml:space="preserve">This publication is also available on the Ministry for Primary Industries website at </w:t>
      </w:r>
      <w:r>
        <w:br/>
      </w:r>
      <w:hyperlink r:id="rId14" w:history="1">
        <w:r w:rsidRPr="001C02C0">
          <w:rPr>
            <w:rStyle w:val="Hyperlink"/>
          </w:rPr>
          <w:t>http://www.mpi.govt.nz/news-resources/publications.aspx</w:t>
        </w:r>
      </w:hyperlink>
    </w:p>
    <w:p w14:paraId="721A7BB0" w14:textId="77777777" w:rsidR="00DF306F" w:rsidRPr="00DF306F" w:rsidRDefault="00DF306F" w:rsidP="006B434C">
      <w:pPr>
        <w:spacing w:afterLines="120" w:after="288" w:line="276" w:lineRule="auto"/>
        <w:rPr>
          <w:sz w:val="22"/>
          <w:szCs w:val="22"/>
        </w:rPr>
        <w:sectPr w:rsidR="00DF306F" w:rsidRPr="00DF306F">
          <w:headerReference w:type="default" r:id="rId15"/>
          <w:footerReference w:type="even" r:id="rId16"/>
          <w:footerReference w:type="default" r:id="rId17"/>
          <w:footerReference w:type="first" r:id="rId18"/>
          <w:type w:val="oddPage"/>
          <w:pgSz w:w="11907" w:h="16840" w:code="9"/>
          <w:pgMar w:top="1134" w:right="1418" w:bottom="1134" w:left="1418" w:header="720" w:footer="720" w:gutter="0"/>
          <w:pgNumType w:fmt="lowerRoman" w:start="1"/>
          <w:cols w:space="720" w:equalWidth="0">
            <w:col w:w="9049"/>
          </w:cols>
        </w:sectPr>
      </w:pPr>
      <w:r w:rsidRPr="00DF306F">
        <w:rPr>
          <w:b/>
          <w:sz w:val="22"/>
          <w:szCs w:val="22"/>
        </w:rPr>
        <w:t>© Crown Copyright - Ministry for Primary Industries</w:t>
      </w:r>
      <w:r w:rsidRPr="00DF306F">
        <w:rPr>
          <w:sz w:val="22"/>
          <w:szCs w:val="22"/>
        </w:rPr>
        <w:t xml:space="preserve"> </w:t>
      </w:r>
    </w:p>
    <w:p w14:paraId="721A7BB1" w14:textId="77777777" w:rsidR="00786686" w:rsidRDefault="00786686" w:rsidP="006B434C">
      <w:pPr>
        <w:pStyle w:val="Contents"/>
        <w:spacing w:line="276" w:lineRule="auto"/>
      </w:pPr>
      <w:r w:rsidRPr="00543F97">
        <w:lastRenderedPageBreak/>
        <w:t>Contents</w:t>
      </w:r>
      <w:r>
        <w:tab/>
      </w:r>
      <w:r>
        <w:rPr>
          <w:sz w:val="24"/>
        </w:rPr>
        <w:t>Page</w:t>
      </w:r>
    </w:p>
    <w:p w14:paraId="721A7BB2" w14:textId="77777777" w:rsidR="00786686" w:rsidRDefault="00786686" w:rsidP="006B434C">
      <w:pPr>
        <w:spacing w:line="276" w:lineRule="auto"/>
      </w:pPr>
    </w:p>
    <w:bookmarkStart w:id="1" w:name="_Toc436817159" w:displacedByCustomXml="next"/>
    <w:bookmarkStart w:id="2" w:name="_Toc436817011" w:displacedByCustomXml="next"/>
    <w:bookmarkStart w:id="3" w:name="_Toc419282878" w:displacedByCustomXml="next"/>
    <w:bookmarkStart w:id="4" w:name="_Toc418844527" w:displacedByCustomXml="next"/>
    <w:bookmarkStart w:id="5" w:name="_Toc399138960" w:displacedByCustomXml="next"/>
    <w:sdt>
      <w:sdtPr>
        <w:rPr>
          <w:rFonts w:ascii="Times New Roman" w:eastAsia="Times New Roman" w:hAnsi="Times New Roman" w:cs="Times New Roman"/>
          <w:color w:val="auto"/>
          <w:sz w:val="24"/>
          <w:szCs w:val="20"/>
          <w:lang w:val="en-NZ"/>
        </w:rPr>
        <w:id w:val="1759247820"/>
        <w:docPartObj>
          <w:docPartGallery w:val="Table of Contents"/>
          <w:docPartUnique/>
        </w:docPartObj>
      </w:sdtPr>
      <w:sdtEndPr>
        <w:rPr>
          <w:b/>
          <w:bCs/>
          <w:noProof/>
        </w:rPr>
      </w:sdtEndPr>
      <w:sdtContent>
        <w:p w14:paraId="721A7BB3" w14:textId="77777777" w:rsidR="00741C70" w:rsidRPr="00D43B54" w:rsidRDefault="00741C70">
          <w:pPr>
            <w:pStyle w:val="TOCHeading"/>
            <w:rPr>
              <w:sz w:val="2"/>
              <w:szCs w:val="2"/>
            </w:rPr>
          </w:pPr>
        </w:p>
        <w:p w14:paraId="721A7BB4" w14:textId="77777777" w:rsidR="00D36217" w:rsidRDefault="00D36217">
          <w:pPr>
            <w:pStyle w:val="TOC1"/>
            <w:tabs>
              <w:tab w:val="left" w:pos="720"/>
              <w:tab w:val="right" w:pos="9060"/>
            </w:tabs>
            <w:rPr>
              <w:rFonts w:asciiTheme="minorHAnsi" w:eastAsiaTheme="minorEastAsia" w:hAnsiTheme="minorHAnsi" w:cstheme="minorBidi"/>
              <w:b w:val="0"/>
              <w:bCs w:val="0"/>
              <w:noProof/>
              <w:sz w:val="22"/>
              <w:szCs w:val="22"/>
              <w:lang w:eastAsia="en-NZ"/>
            </w:rPr>
          </w:pPr>
          <w:r>
            <w:rPr>
              <w:b w:val="0"/>
              <w:bCs w:val="0"/>
            </w:rPr>
            <w:fldChar w:fldCharType="begin"/>
          </w:r>
          <w:r>
            <w:rPr>
              <w:b w:val="0"/>
              <w:bCs w:val="0"/>
            </w:rPr>
            <w:instrText xml:space="preserve"> TOC \o "1-3" \h \z \u </w:instrText>
          </w:r>
          <w:r>
            <w:rPr>
              <w:b w:val="0"/>
              <w:bCs w:val="0"/>
            </w:rPr>
            <w:fldChar w:fldCharType="separate"/>
          </w:r>
          <w:hyperlink w:anchor="_Toc453060460" w:history="1">
            <w:r w:rsidRPr="00E41729">
              <w:rPr>
                <w:rStyle w:val="Hyperlink"/>
                <w:noProof/>
              </w:rPr>
              <w:t>1</w:t>
            </w:r>
            <w:r>
              <w:rPr>
                <w:rFonts w:asciiTheme="minorHAnsi" w:eastAsiaTheme="minorEastAsia" w:hAnsiTheme="minorHAnsi" w:cstheme="minorBidi"/>
                <w:b w:val="0"/>
                <w:bCs w:val="0"/>
                <w:noProof/>
                <w:sz w:val="22"/>
                <w:szCs w:val="22"/>
                <w:lang w:eastAsia="en-NZ"/>
              </w:rPr>
              <w:tab/>
            </w:r>
            <w:r w:rsidRPr="00E41729">
              <w:rPr>
                <w:rStyle w:val="Hyperlink"/>
                <w:noProof/>
              </w:rPr>
              <w:t>Submission Information</w:t>
            </w:r>
            <w:r>
              <w:rPr>
                <w:noProof/>
                <w:webHidden/>
              </w:rPr>
              <w:tab/>
            </w:r>
            <w:r>
              <w:rPr>
                <w:noProof/>
                <w:webHidden/>
              </w:rPr>
              <w:fldChar w:fldCharType="begin"/>
            </w:r>
            <w:r>
              <w:rPr>
                <w:noProof/>
                <w:webHidden/>
              </w:rPr>
              <w:instrText xml:space="preserve"> PAGEREF _Toc453060460 \h </w:instrText>
            </w:r>
            <w:r>
              <w:rPr>
                <w:noProof/>
                <w:webHidden/>
              </w:rPr>
            </w:r>
            <w:r>
              <w:rPr>
                <w:noProof/>
                <w:webHidden/>
              </w:rPr>
              <w:fldChar w:fldCharType="separate"/>
            </w:r>
            <w:r>
              <w:rPr>
                <w:noProof/>
                <w:webHidden/>
              </w:rPr>
              <w:t>1</w:t>
            </w:r>
            <w:r>
              <w:rPr>
                <w:noProof/>
                <w:webHidden/>
              </w:rPr>
              <w:fldChar w:fldCharType="end"/>
            </w:r>
          </w:hyperlink>
        </w:p>
        <w:p w14:paraId="721A7BB5" w14:textId="77777777" w:rsidR="00D36217" w:rsidRDefault="005301C3">
          <w:pPr>
            <w:pStyle w:val="TOC2"/>
            <w:tabs>
              <w:tab w:val="left" w:pos="720"/>
              <w:tab w:val="right" w:pos="9060"/>
            </w:tabs>
            <w:rPr>
              <w:rFonts w:asciiTheme="minorHAnsi" w:eastAsiaTheme="minorEastAsia" w:hAnsiTheme="minorHAnsi" w:cstheme="minorBidi"/>
              <w:iCs w:val="0"/>
              <w:noProof/>
              <w:sz w:val="22"/>
              <w:szCs w:val="22"/>
              <w:lang w:eastAsia="en-NZ"/>
            </w:rPr>
          </w:pPr>
          <w:hyperlink w:anchor="_Toc453060461" w:history="1">
            <w:r w:rsidR="00D36217" w:rsidRPr="00E41729">
              <w:rPr>
                <w:rStyle w:val="Hyperlink"/>
                <w:noProof/>
              </w:rPr>
              <w:t>1.1</w:t>
            </w:r>
            <w:r w:rsidR="00D36217">
              <w:rPr>
                <w:rFonts w:asciiTheme="minorHAnsi" w:eastAsiaTheme="minorEastAsia" w:hAnsiTheme="minorHAnsi" w:cstheme="minorBidi"/>
                <w:iCs w:val="0"/>
                <w:noProof/>
                <w:sz w:val="22"/>
                <w:szCs w:val="22"/>
                <w:lang w:eastAsia="en-NZ"/>
              </w:rPr>
              <w:tab/>
            </w:r>
            <w:r w:rsidR="00D36217" w:rsidRPr="00E41729">
              <w:rPr>
                <w:rStyle w:val="Hyperlink"/>
                <w:noProof/>
              </w:rPr>
              <w:t>Official Information Act 1982</w:t>
            </w:r>
            <w:r w:rsidR="00D36217">
              <w:rPr>
                <w:noProof/>
                <w:webHidden/>
              </w:rPr>
              <w:tab/>
            </w:r>
            <w:r w:rsidR="00D36217">
              <w:rPr>
                <w:noProof/>
                <w:webHidden/>
              </w:rPr>
              <w:fldChar w:fldCharType="begin"/>
            </w:r>
            <w:r w:rsidR="00D36217">
              <w:rPr>
                <w:noProof/>
                <w:webHidden/>
              </w:rPr>
              <w:instrText xml:space="preserve"> PAGEREF _Toc453060461 \h </w:instrText>
            </w:r>
            <w:r w:rsidR="00D36217">
              <w:rPr>
                <w:noProof/>
                <w:webHidden/>
              </w:rPr>
            </w:r>
            <w:r w:rsidR="00D36217">
              <w:rPr>
                <w:noProof/>
                <w:webHidden/>
              </w:rPr>
              <w:fldChar w:fldCharType="separate"/>
            </w:r>
            <w:r w:rsidR="00D36217">
              <w:rPr>
                <w:noProof/>
                <w:webHidden/>
              </w:rPr>
              <w:t>1</w:t>
            </w:r>
            <w:r w:rsidR="00D36217">
              <w:rPr>
                <w:noProof/>
                <w:webHidden/>
              </w:rPr>
              <w:fldChar w:fldCharType="end"/>
            </w:r>
          </w:hyperlink>
        </w:p>
        <w:p w14:paraId="721A7BB6" w14:textId="77777777" w:rsidR="00D36217" w:rsidRDefault="005301C3">
          <w:pPr>
            <w:pStyle w:val="TOC1"/>
            <w:tabs>
              <w:tab w:val="left" w:pos="720"/>
              <w:tab w:val="right" w:pos="9060"/>
            </w:tabs>
            <w:rPr>
              <w:rFonts w:asciiTheme="minorHAnsi" w:eastAsiaTheme="minorEastAsia" w:hAnsiTheme="minorHAnsi" w:cstheme="minorBidi"/>
              <w:b w:val="0"/>
              <w:bCs w:val="0"/>
              <w:noProof/>
              <w:sz w:val="22"/>
              <w:szCs w:val="22"/>
              <w:lang w:eastAsia="en-NZ"/>
            </w:rPr>
          </w:pPr>
          <w:hyperlink w:anchor="_Toc453060462" w:history="1">
            <w:r w:rsidR="00D36217" w:rsidRPr="00E41729">
              <w:rPr>
                <w:rStyle w:val="Hyperlink"/>
                <w:noProof/>
              </w:rPr>
              <w:t>2</w:t>
            </w:r>
            <w:r w:rsidR="00D36217">
              <w:rPr>
                <w:rFonts w:asciiTheme="minorHAnsi" w:eastAsiaTheme="minorEastAsia" w:hAnsiTheme="minorHAnsi" w:cstheme="minorBidi"/>
                <w:b w:val="0"/>
                <w:bCs w:val="0"/>
                <w:noProof/>
                <w:sz w:val="22"/>
                <w:szCs w:val="22"/>
                <w:lang w:eastAsia="en-NZ"/>
              </w:rPr>
              <w:tab/>
            </w:r>
            <w:r w:rsidR="00D36217" w:rsidRPr="00E41729">
              <w:rPr>
                <w:rStyle w:val="Hyperlink"/>
                <w:noProof/>
              </w:rPr>
              <w:t>Executive Summary</w:t>
            </w:r>
            <w:r w:rsidR="00D36217">
              <w:rPr>
                <w:noProof/>
                <w:webHidden/>
              </w:rPr>
              <w:tab/>
            </w:r>
            <w:r w:rsidR="00D36217">
              <w:rPr>
                <w:noProof/>
                <w:webHidden/>
              </w:rPr>
              <w:fldChar w:fldCharType="begin"/>
            </w:r>
            <w:r w:rsidR="00D36217">
              <w:rPr>
                <w:noProof/>
                <w:webHidden/>
              </w:rPr>
              <w:instrText xml:space="preserve"> PAGEREF _Toc453060462 \h </w:instrText>
            </w:r>
            <w:r w:rsidR="00D36217">
              <w:rPr>
                <w:noProof/>
                <w:webHidden/>
              </w:rPr>
            </w:r>
            <w:r w:rsidR="00D36217">
              <w:rPr>
                <w:noProof/>
                <w:webHidden/>
              </w:rPr>
              <w:fldChar w:fldCharType="separate"/>
            </w:r>
            <w:r w:rsidR="00D36217">
              <w:rPr>
                <w:noProof/>
                <w:webHidden/>
              </w:rPr>
              <w:t>2</w:t>
            </w:r>
            <w:r w:rsidR="00D36217">
              <w:rPr>
                <w:noProof/>
                <w:webHidden/>
              </w:rPr>
              <w:fldChar w:fldCharType="end"/>
            </w:r>
          </w:hyperlink>
        </w:p>
        <w:p w14:paraId="721A7BB7" w14:textId="77777777" w:rsidR="00D36217" w:rsidRDefault="005301C3">
          <w:pPr>
            <w:pStyle w:val="TOC1"/>
            <w:tabs>
              <w:tab w:val="left" w:pos="720"/>
              <w:tab w:val="right" w:pos="9060"/>
            </w:tabs>
            <w:rPr>
              <w:rFonts w:asciiTheme="minorHAnsi" w:eastAsiaTheme="minorEastAsia" w:hAnsiTheme="minorHAnsi" w:cstheme="minorBidi"/>
              <w:b w:val="0"/>
              <w:bCs w:val="0"/>
              <w:noProof/>
              <w:sz w:val="22"/>
              <w:szCs w:val="22"/>
              <w:lang w:eastAsia="en-NZ"/>
            </w:rPr>
          </w:pPr>
          <w:hyperlink w:anchor="_Toc453060463" w:history="1">
            <w:r w:rsidR="00D36217" w:rsidRPr="00E41729">
              <w:rPr>
                <w:rStyle w:val="Hyperlink"/>
                <w:noProof/>
              </w:rPr>
              <w:t>3</w:t>
            </w:r>
            <w:r w:rsidR="00D36217">
              <w:rPr>
                <w:rFonts w:asciiTheme="minorHAnsi" w:eastAsiaTheme="minorEastAsia" w:hAnsiTheme="minorHAnsi" w:cstheme="minorBidi"/>
                <w:b w:val="0"/>
                <w:bCs w:val="0"/>
                <w:noProof/>
                <w:sz w:val="22"/>
                <w:szCs w:val="22"/>
                <w:lang w:eastAsia="en-NZ"/>
              </w:rPr>
              <w:tab/>
            </w:r>
            <w:r w:rsidR="00D36217" w:rsidRPr="00E41729">
              <w:rPr>
                <w:rStyle w:val="Hyperlink"/>
                <w:noProof/>
              </w:rPr>
              <w:t>Purpose</w:t>
            </w:r>
            <w:r w:rsidR="00D36217">
              <w:rPr>
                <w:noProof/>
                <w:webHidden/>
              </w:rPr>
              <w:tab/>
            </w:r>
            <w:r w:rsidR="00D36217">
              <w:rPr>
                <w:noProof/>
                <w:webHidden/>
              </w:rPr>
              <w:fldChar w:fldCharType="begin"/>
            </w:r>
            <w:r w:rsidR="00D36217">
              <w:rPr>
                <w:noProof/>
                <w:webHidden/>
              </w:rPr>
              <w:instrText xml:space="preserve"> PAGEREF _Toc453060463 \h </w:instrText>
            </w:r>
            <w:r w:rsidR="00D36217">
              <w:rPr>
                <w:noProof/>
                <w:webHidden/>
              </w:rPr>
            </w:r>
            <w:r w:rsidR="00D36217">
              <w:rPr>
                <w:noProof/>
                <w:webHidden/>
              </w:rPr>
              <w:fldChar w:fldCharType="separate"/>
            </w:r>
            <w:r w:rsidR="00D36217">
              <w:rPr>
                <w:noProof/>
                <w:webHidden/>
              </w:rPr>
              <w:t>3</w:t>
            </w:r>
            <w:r w:rsidR="00D36217">
              <w:rPr>
                <w:noProof/>
                <w:webHidden/>
              </w:rPr>
              <w:fldChar w:fldCharType="end"/>
            </w:r>
          </w:hyperlink>
        </w:p>
        <w:p w14:paraId="721A7BB8" w14:textId="77777777" w:rsidR="00D36217" w:rsidRDefault="005301C3">
          <w:pPr>
            <w:pStyle w:val="TOC2"/>
            <w:tabs>
              <w:tab w:val="left" w:pos="720"/>
              <w:tab w:val="right" w:pos="9060"/>
            </w:tabs>
            <w:rPr>
              <w:rFonts w:asciiTheme="minorHAnsi" w:eastAsiaTheme="minorEastAsia" w:hAnsiTheme="minorHAnsi" w:cstheme="minorBidi"/>
              <w:iCs w:val="0"/>
              <w:noProof/>
              <w:sz w:val="22"/>
              <w:szCs w:val="22"/>
              <w:lang w:eastAsia="en-NZ"/>
            </w:rPr>
          </w:pPr>
          <w:hyperlink w:anchor="_Toc453060464" w:history="1">
            <w:r w:rsidR="00D36217" w:rsidRPr="00E41729">
              <w:rPr>
                <w:rStyle w:val="Hyperlink"/>
                <w:noProof/>
              </w:rPr>
              <w:t>3.1</w:t>
            </w:r>
            <w:r w:rsidR="00D36217">
              <w:rPr>
                <w:rFonts w:asciiTheme="minorHAnsi" w:eastAsiaTheme="minorEastAsia" w:hAnsiTheme="minorHAnsi" w:cstheme="minorBidi"/>
                <w:iCs w:val="0"/>
                <w:noProof/>
                <w:sz w:val="22"/>
                <w:szCs w:val="22"/>
                <w:lang w:eastAsia="en-NZ"/>
              </w:rPr>
              <w:tab/>
            </w:r>
            <w:r w:rsidR="00D36217" w:rsidRPr="00E41729">
              <w:rPr>
                <w:rStyle w:val="Hyperlink"/>
                <w:noProof/>
              </w:rPr>
              <w:t>Need for action</w:t>
            </w:r>
            <w:r w:rsidR="00D36217">
              <w:rPr>
                <w:noProof/>
                <w:webHidden/>
              </w:rPr>
              <w:tab/>
            </w:r>
            <w:r w:rsidR="00D36217">
              <w:rPr>
                <w:noProof/>
                <w:webHidden/>
              </w:rPr>
              <w:fldChar w:fldCharType="begin"/>
            </w:r>
            <w:r w:rsidR="00D36217">
              <w:rPr>
                <w:noProof/>
                <w:webHidden/>
              </w:rPr>
              <w:instrText xml:space="preserve"> PAGEREF _Toc453060464 \h </w:instrText>
            </w:r>
            <w:r w:rsidR="00D36217">
              <w:rPr>
                <w:noProof/>
                <w:webHidden/>
              </w:rPr>
            </w:r>
            <w:r w:rsidR="00D36217">
              <w:rPr>
                <w:noProof/>
                <w:webHidden/>
              </w:rPr>
              <w:fldChar w:fldCharType="separate"/>
            </w:r>
            <w:r w:rsidR="00D36217">
              <w:rPr>
                <w:noProof/>
                <w:webHidden/>
              </w:rPr>
              <w:t>3</w:t>
            </w:r>
            <w:r w:rsidR="00D36217">
              <w:rPr>
                <w:noProof/>
                <w:webHidden/>
              </w:rPr>
              <w:fldChar w:fldCharType="end"/>
            </w:r>
          </w:hyperlink>
        </w:p>
        <w:p w14:paraId="721A7BB9" w14:textId="77777777" w:rsidR="00D36217" w:rsidRDefault="005301C3">
          <w:pPr>
            <w:pStyle w:val="TOC2"/>
            <w:tabs>
              <w:tab w:val="left" w:pos="720"/>
              <w:tab w:val="right" w:pos="9060"/>
            </w:tabs>
            <w:rPr>
              <w:rFonts w:asciiTheme="minorHAnsi" w:eastAsiaTheme="minorEastAsia" w:hAnsiTheme="minorHAnsi" w:cstheme="minorBidi"/>
              <w:iCs w:val="0"/>
              <w:noProof/>
              <w:sz w:val="22"/>
              <w:szCs w:val="22"/>
              <w:lang w:eastAsia="en-NZ"/>
            </w:rPr>
          </w:pPr>
          <w:hyperlink w:anchor="_Toc453060465" w:history="1">
            <w:r w:rsidR="00D36217" w:rsidRPr="00E41729">
              <w:rPr>
                <w:rStyle w:val="Hyperlink"/>
                <w:noProof/>
              </w:rPr>
              <w:t>3.2</w:t>
            </w:r>
            <w:r w:rsidR="00D36217">
              <w:rPr>
                <w:rFonts w:asciiTheme="minorHAnsi" w:eastAsiaTheme="minorEastAsia" w:hAnsiTheme="minorHAnsi" w:cstheme="minorBidi"/>
                <w:iCs w:val="0"/>
                <w:noProof/>
                <w:sz w:val="22"/>
                <w:szCs w:val="22"/>
                <w:lang w:eastAsia="en-NZ"/>
              </w:rPr>
              <w:tab/>
            </w:r>
            <w:r w:rsidR="00D36217" w:rsidRPr="00E41729">
              <w:rPr>
                <w:rStyle w:val="Hyperlink"/>
                <w:noProof/>
              </w:rPr>
              <w:t>Management approach</w:t>
            </w:r>
            <w:r w:rsidR="00D36217">
              <w:rPr>
                <w:noProof/>
                <w:webHidden/>
              </w:rPr>
              <w:tab/>
            </w:r>
            <w:r w:rsidR="00D36217">
              <w:rPr>
                <w:noProof/>
                <w:webHidden/>
              </w:rPr>
              <w:fldChar w:fldCharType="begin"/>
            </w:r>
            <w:r w:rsidR="00D36217">
              <w:rPr>
                <w:noProof/>
                <w:webHidden/>
              </w:rPr>
              <w:instrText xml:space="preserve"> PAGEREF _Toc453060465 \h </w:instrText>
            </w:r>
            <w:r w:rsidR="00D36217">
              <w:rPr>
                <w:noProof/>
                <w:webHidden/>
              </w:rPr>
            </w:r>
            <w:r w:rsidR="00D36217">
              <w:rPr>
                <w:noProof/>
                <w:webHidden/>
              </w:rPr>
              <w:fldChar w:fldCharType="separate"/>
            </w:r>
            <w:r w:rsidR="00D36217">
              <w:rPr>
                <w:noProof/>
                <w:webHidden/>
              </w:rPr>
              <w:t>3</w:t>
            </w:r>
            <w:r w:rsidR="00D36217">
              <w:rPr>
                <w:noProof/>
                <w:webHidden/>
              </w:rPr>
              <w:fldChar w:fldCharType="end"/>
            </w:r>
          </w:hyperlink>
        </w:p>
        <w:p w14:paraId="721A7BBA" w14:textId="77777777" w:rsidR="00D36217" w:rsidRDefault="005301C3">
          <w:pPr>
            <w:pStyle w:val="TOC1"/>
            <w:tabs>
              <w:tab w:val="left" w:pos="720"/>
              <w:tab w:val="right" w:pos="9060"/>
            </w:tabs>
            <w:rPr>
              <w:rFonts w:asciiTheme="minorHAnsi" w:eastAsiaTheme="minorEastAsia" w:hAnsiTheme="minorHAnsi" w:cstheme="minorBidi"/>
              <w:b w:val="0"/>
              <w:bCs w:val="0"/>
              <w:noProof/>
              <w:sz w:val="22"/>
              <w:szCs w:val="22"/>
              <w:lang w:eastAsia="en-NZ"/>
            </w:rPr>
          </w:pPr>
          <w:hyperlink w:anchor="_Toc453060466" w:history="1">
            <w:r w:rsidR="00D36217" w:rsidRPr="00E41729">
              <w:rPr>
                <w:rStyle w:val="Hyperlink"/>
                <w:noProof/>
              </w:rPr>
              <w:t>4</w:t>
            </w:r>
            <w:r w:rsidR="00D36217">
              <w:rPr>
                <w:rFonts w:asciiTheme="minorHAnsi" w:eastAsiaTheme="minorEastAsia" w:hAnsiTheme="minorHAnsi" w:cstheme="minorBidi"/>
                <w:b w:val="0"/>
                <w:bCs w:val="0"/>
                <w:noProof/>
                <w:sz w:val="22"/>
                <w:szCs w:val="22"/>
                <w:lang w:eastAsia="en-NZ"/>
              </w:rPr>
              <w:tab/>
            </w:r>
            <w:r w:rsidR="00D36217" w:rsidRPr="00E41729">
              <w:rPr>
                <w:rStyle w:val="Hyperlink"/>
                <w:noProof/>
              </w:rPr>
              <w:t>Background Information</w:t>
            </w:r>
            <w:r w:rsidR="00D36217">
              <w:rPr>
                <w:noProof/>
                <w:webHidden/>
              </w:rPr>
              <w:tab/>
            </w:r>
            <w:r w:rsidR="00D36217">
              <w:rPr>
                <w:noProof/>
                <w:webHidden/>
              </w:rPr>
              <w:fldChar w:fldCharType="begin"/>
            </w:r>
            <w:r w:rsidR="00D36217">
              <w:rPr>
                <w:noProof/>
                <w:webHidden/>
              </w:rPr>
              <w:instrText xml:space="preserve"> PAGEREF _Toc453060466 \h </w:instrText>
            </w:r>
            <w:r w:rsidR="00D36217">
              <w:rPr>
                <w:noProof/>
                <w:webHidden/>
              </w:rPr>
            </w:r>
            <w:r w:rsidR="00D36217">
              <w:rPr>
                <w:noProof/>
                <w:webHidden/>
              </w:rPr>
              <w:fldChar w:fldCharType="separate"/>
            </w:r>
            <w:r w:rsidR="00D36217">
              <w:rPr>
                <w:noProof/>
                <w:webHidden/>
              </w:rPr>
              <w:t>4</w:t>
            </w:r>
            <w:r w:rsidR="00D36217">
              <w:rPr>
                <w:noProof/>
                <w:webHidden/>
              </w:rPr>
              <w:fldChar w:fldCharType="end"/>
            </w:r>
          </w:hyperlink>
        </w:p>
        <w:p w14:paraId="721A7BBB" w14:textId="77777777" w:rsidR="00D36217" w:rsidRDefault="005301C3">
          <w:pPr>
            <w:pStyle w:val="TOC2"/>
            <w:tabs>
              <w:tab w:val="left" w:pos="720"/>
              <w:tab w:val="right" w:pos="9060"/>
            </w:tabs>
            <w:rPr>
              <w:rFonts w:asciiTheme="minorHAnsi" w:eastAsiaTheme="minorEastAsia" w:hAnsiTheme="minorHAnsi" w:cstheme="minorBidi"/>
              <w:iCs w:val="0"/>
              <w:noProof/>
              <w:sz w:val="22"/>
              <w:szCs w:val="22"/>
              <w:lang w:eastAsia="en-NZ"/>
            </w:rPr>
          </w:pPr>
          <w:hyperlink w:anchor="_Toc453060467" w:history="1">
            <w:r w:rsidR="00D36217" w:rsidRPr="00E41729">
              <w:rPr>
                <w:rStyle w:val="Hyperlink"/>
                <w:noProof/>
              </w:rPr>
              <w:t>4.1</w:t>
            </w:r>
            <w:r w:rsidR="00D36217">
              <w:rPr>
                <w:rFonts w:asciiTheme="minorHAnsi" w:eastAsiaTheme="minorEastAsia" w:hAnsiTheme="minorHAnsi" w:cstheme="minorBidi"/>
                <w:iCs w:val="0"/>
                <w:noProof/>
                <w:sz w:val="22"/>
                <w:szCs w:val="22"/>
                <w:lang w:eastAsia="en-NZ"/>
              </w:rPr>
              <w:tab/>
            </w:r>
            <w:r w:rsidR="00D36217" w:rsidRPr="00E41729">
              <w:rPr>
                <w:rStyle w:val="Hyperlink"/>
                <w:noProof/>
              </w:rPr>
              <w:t>Biological characteristics of squid</w:t>
            </w:r>
            <w:r w:rsidR="00D36217">
              <w:rPr>
                <w:noProof/>
                <w:webHidden/>
              </w:rPr>
              <w:tab/>
            </w:r>
            <w:r w:rsidR="00D36217">
              <w:rPr>
                <w:noProof/>
                <w:webHidden/>
              </w:rPr>
              <w:fldChar w:fldCharType="begin"/>
            </w:r>
            <w:r w:rsidR="00D36217">
              <w:rPr>
                <w:noProof/>
                <w:webHidden/>
              </w:rPr>
              <w:instrText xml:space="preserve"> PAGEREF _Toc453060467 \h </w:instrText>
            </w:r>
            <w:r w:rsidR="00D36217">
              <w:rPr>
                <w:noProof/>
                <w:webHidden/>
              </w:rPr>
            </w:r>
            <w:r w:rsidR="00D36217">
              <w:rPr>
                <w:noProof/>
                <w:webHidden/>
              </w:rPr>
              <w:fldChar w:fldCharType="separate"/>
            </w:r>
            <w:r w:rsidR="00D36217">
              <w:rPr>
                <w:noProof/>
                <w:webHidden/>
              </w:rPr>
              <w:t>4</w:t>
            </w:r>
            <w:r w:rsidR="00D36217">
              <w:rPr>
                <w:noProof/>
                <w:webHidden/>
              </w:rPr>
              <w:fldChar w:fldCharType="end"/>
            </w:r>
          </w:hyperlink>
        </w:p>
        <w:p w14:paraId="721A7BBC" w14:textId="77777777" w:rsidR="00D36217" w:rsidRDefault="005301C3">
          <w:pPr>
            <w:pStyle w:val="TOC2"/>
            <w:tabs>
              <w:tab w:val="left" w:pos="720"/>
              <w:tab w:val="right" w:pos="9060"/>
            </w:tabs>
            <w:rPr>
              <w:rFonts w:asciiTheme="minorHAnsi" w:eastAsiaTheme="minorEastAsia" w:hAnsiTheme="minorHAnsi" w:cstheme="minorBidi"/>
              <w:iCs w:val="0"/>
              <w:noProof/>
              <w:sz w:val="22"/>
              <w:szCs w:val="22"/>
              <w:lang w:eastAsia="en-NZ"/>
            </w:rPr>
          </w:pPr>
          <w:hyperlink w:anchor="_Toc453060468" w:history="1">
            <w:r w:rsidR="00D36217" w:rsidRPr="00E41729">
              <w:rPr>
                <w:rStyle w:val="Hyperlink"/>
                <w:noProof/>
              </w:rPr>
              <w:t>4.2</w:t>
            </w:r>
            <w:r w:rsidR="00D36217">
              <w:rPr>
                <w:rFonts w:asciiTheme="minorHAnsi" w:eastAsiaTheme="minorEastAsia" w:hAnsiTheme="minorHAnsi" w:cstheme="minorBidi"/>
                <w:iCs w:val="0"/>
                <w:noProof/>
                <w:sz w:val="22"/>
                <w:szCs w:val="22"/>
                <w:lang w:eastAsia="en-NZ"/>
              </w:rPr>
              <w:tab/>
            </w:r>
            <w:r w:rsidR="00D36217" w:rsidRPr="00E41729">
              <w:rPr>
                <w:rStyle w:val="Hyperlink"/>
                <w:noProof/>
              </w:rPr>
              <w:t>Commercial fishery</w:t>
            </w:r>
            <w:r w:rsidR="00D36217">
              <w:rPr>
                <w:noProof/>
                <w:webHidden/>
              </w:rPr>
              <w:tab/>
            </w:r>
            <w:r w:rsidR="00D36217">
              <w:rPr>
                <w:noProof/>
                <w:webHidden/>
              </w:rPr>
              <w:fldChar w:fldCharType="begin"/>
            </w:r>
            <w:r w:rsidR="00D36217">
              <w:rPr>
                <w:noProof/>
                <w:webHidden/>
              </w:rPr>
              <w:instrText xml:space="preserve"> PAGEREF _Toc453060468 \h </w:instrText>
            </w:r>
            <w:r w:rsidR="00D36217">
              <w:rPr>
                <w:noProof/>
                <w:webHidden/>
              </w:rPr>
            </w:r>
            <w:r w:rsidR="00D36217">
              <w:rPr>
                <w:noProof/>
                <w:webHidden/>
              </w:rPr>
              <w:fldChar w:fldCharType="separate"/>
            </w:r>
            <w:r w:rsidR="00D36217">
              <w:rPr>
                <w:noProof/>
                <w:webHidden/>
              </w:rPr>
              <w:t>4</w:t>
            </w:r>
            <w:r w:rsidR="00D36217">
              <w:rPr>
                <w:noProof/>
                <w:webHidden/>
              </w:rPr>
              <w:fldChar w:fldCharType="end"/>
            </w:r>
          </w:hyperlink>
        </w:p>
        <w:p w14:paraId="721A7BBD" w14:textId="77777777" w:rsidR="00D36217" w:rsidRDefault="005301C3">
          <w:pPr>
            <w:pStyle w:val="TOC2"/>
            <w:tabs>
              <w:tab w:val="left" w:pos="720"/>
              <w:tab w:val="right" w:pos="9060"/>
            </w:tabs>
            <w:rPr>
              <w:rFonts w:asciiTheme="minorHAnsi" w:eastAsiaTheme="minorEastAsia" w:hAnsiTheme="minorHAnsi" w:cstheme="minorBidi"/>
              <w:iCs w:val="0"/>
              <w:noProof/>
              <w:sz w:val="22"/>
              <w:szCs w:val="22"/>
              <w:lang w:eastAsia="en-NZ"/>
            </w:rPr>
          </w:pPr>
          <w:hyperlink w:anchor="_Toc453060469" w:history="1">
            <w:r w:rsidR="00D36217" w:rsidRPr="00E41729">
              <w:rPr>
                <w:rStyle w:val="Hyperlink"/>
                <w:noProof/>
              </w:rPr>
              <w:t>4.3</w:t>
            </w:r>
            <w:r w:rsidR="00D36217">
              <w:rPr>
                <w:rFonts w:asciiTheme="minorHAnsi" w:eastAsiaTheme="minorEastAsia" w:hAnsiTheme="minorHAnsi" w:cstheme="minorBidi"/>
                <w:iCs w:val="0"/>
                <w:noProof/>
                <w:sz w:val="22"/>
                <w:szCs w:val="22"/>
                <w:lang w:eastAsia="en-NZ"/>
              </w:rPr>
              <w:tab/>
            </w:r>
            <w:r w:rsidR="00D36217" w:rsidRPr="00E41729">
              <w:rPr>
                <w:rStyle w:val="Hyperlink"/>
                <w:noProof/>
              </w:rPr>
              <w:t>Recreational fishery</w:t>
            </w:r>
            <w:r w:rsidR="00D36217">
              <w:rPr>
                <w:noProof/>
                <w:webHidden/>
              </w:rPr>
              <w:tab/>
            </w:r>
            <w:r w:rsidR="00D36217">
              <w:rPr>
                <w:noProof/>
                <w:webHidden/>
              </w:rPr>
              <w:fldChar w:fldCharType="begin"/>
            </w:r>
            <w:r w:rsidR="00D36217">
              <w:rPr>
                <w:noProof/>
                <w:webHidden/>
              </w:rPr>
              <w:instrText xml:space="preserve"> PAGEREF _Toc453060469 \h </w:instrText>
            </w:r>
            <w:r w:rsidR="00D36217">
              <w:rPr>
                <w:noProof/>
                <w:webHidden/>
              </w:rPr>
            </w:r>
            <w:r w:rsidR="00D36217">
              <w:rPr>
                <w:noProof/>
                <w:webHidden/>
              </w:rPr>
              <w:fldChar w:fldCharType="separate"/>
            </w:r>
            <w:r w:rsidR="00D36217">
              <w:rPr>
                <w:noProof/>
                <w:webHidden/>
              </w:rPr>
              <w:t>5</w:t>
            </w:r>
            <w:r w:rsidR="00D36217">
              <w:rPr>
                <w:noProof/>
                <w:webHidden/>
              </w:rPr>
              <w:fldChar w:fldCharType="end"/>
            </w:r>
          </w:hyperlink>
        </w:p>
        <w:p w14:paraId="721A7BBE" w14:textId="77777777" w:rsidR="00D36217" w:rsidRDefault="005301C3">
          <w:pPr>
            <w:pStyle w:val="TOC2"/>
            <w:tabs>
              <w:tab w:val="left" w:pos="720"/>
              <w:tab w:val="right" w:pos="9060"/>
            </w:tabs>
            <w:rPr>
              <w:rFonts w:asciiTheme="minorHAnsi" w:eastAsiaTheme="minorEastAsia" w:hAnsiTheme="minorHAnsi" w:cstheme="minorBidi"/>
              <w:iCs w:val="0"/>
              <w:noProof/>
              <w:sz w:val="22"/>
              <w:szCs w:val="22"/>
              <w:lang w:eastAsia="en-NZ"/>
            </w:rPr>
          </w:pPr>
          <w:hyperlink w:anchor="_Toc453060470" w:history="1">
            <w:r w:rsidR="00D36217" w:rsidRPr="00E41729">
              <w:rPr>
                <w:rStyle w:val="Hyperlink"/>
                <w:noProof/>
              </w:rPr>
              <w:t>4.4</w:t>
            </w:r>
            <w:r w:rsidR="00D36217">
              <w:rPr>
                <w:rFonts w:asciiTheme="minorHAnsi" w:eastAsiaTheme="minorEastAsia" w:hAnsiTheme="minorHAnsi" w:cstheme="minorBidi"/>
                <w:iCs w:val="0"/>
                <w:noProof/>
                <w:sz w:val="22"/>
                <w:szCs w:val="22"/>
                <w:lang w:eastAsia="en-NZ"/>
              </w:rPr>
              <w:tab/>
            </w:r>
            <w:r w:rsidR="00D36217" w:rsidRPr="00E41729">
              <w:rPr>
                <w:rStyle w:val="Hyperlink"/>
                <w:noProof/>
              </w:rPr>
              <w:t>Māori customary fishery</w:t>
            </w:r>
            <w:r w:rsidR="00D36217">
              <w:rPr>
                <w:noProof/>
                <w:webHidden/>
              </w:rPr>
              <w:tab/>
            </w:r>
            <w:r w:rsidR="00D36217">
              <w:rPr>
                <w:noProof/>
                <w:webHidden/>
              </w:rPr>
              <w:fldChar w:fldCharType="begin"/>
            </w:r>
            <w:r w:rsidR="00D36217">
              <w:rPr>
                <w:noProof/>
                <w:webHidden/>
              </w:rPr>
              <w:instrText xml:space="preserve"> PAGEREF _Toc453060470 \h </w:instrText>
            </w:r>
            <w:r w:rsidR="00D36217">
              <w:rPr>
                <w:noProof/>
                <w:webHidden/>
              </w:rPr>
            </w:r>
            <w:r w:rsidR="00D36217">
              <w:rPr>
                <w:noProof/>
                <w:webHidden/>
              </w:rPr>
              <w:fldChar w:fldCharType="separate"/>
            </w:r>
            <w:r w:rsidR="00D36217">
              <w:rPr>
                <w:noProof/>
                <w:webHidden/>
              </w:rPr>
              <w:t>5</w:t>
            </w:r>
            <w:r w:rsidR="00D36217">
              <w:rPr>
                <w:noProof/>
                <w:webHidden/>
              </w:rPr>
              <w:fldChar w:fldCharType="end"/>
            </w:r>
          </w:hyperlink>
        </w:p>
        <w:p w14:paraId="721A7BBF" w14:textId="77777777" w:rsidR="00D36217" w:rsidRDefault="005301C3">
          <w:pPr>
            <w:pStyle w:val="TOC2"/>
            <w:tabs>
              <w:tab w:val="left" w:pos="720"/>
              <w:tab w:val="right" w:pos="9060"/>
            </w:tabs>
            <w:rPr>
              <w:rFonts w:asciiTheme="minorHAnsi" w:eastAsiaTheme="minorEastAsia" w:hAnsiTheme="minorHAnsi" w:cstheme="minorBidi"/>
              <w:iCs w:val="0"/>
              <w:noProof/>
              <w:sz w:val="22"/>
              <w:szCs w:val="22"/>
              <w:lang w:eastAsia="en-NZ"/>
            </w:rPr>
          </w:pPr>
          <w:hyperlink w:anchor="_Toc453060471" w:history="1">
            <w:r w:rsidR="00D36217" w:rsidRPr="00E41729">
              <w:rPr>
                <w:rStyle w:val="Hyperlink"/>
                <w:noProof/>
              </w:rPr>
              <w:t>4.5</w:t>
            </w:r>
            <w:r w:rsidR="00D36217">
              <w:rPr>
                <w:rFonts w:asciiTheme="minorHAnsi" w:eastAsiaTheme="minorEastAsia" w:hAnsiTheme="minorHAnsi" w:cstheme="minorBidi"/>
                <w:iCs w:val="0"/>
                <w:noProof/>
                <w:sz w:val="22"/>
                <w:szCs w:val="22"/>
                <w:lang w:eastAsia="en-NZ"/>
              </w:rPr>
              <w:tab/>
            </w:r>
            <w:r w:rsidR="00D36217" w:rsidRPr="00E41729">
              <w:rPr>
                <w:rStyle w:val="Hyperlink"/>
                <w:noProof/>
              </w:rPr>
              <w:t>Other sources of fishing-related mortality</w:t>
            </w:r>
            <w:r w:rsidR="00D36217">
              <w:rPr>
                <w:noProof/>
                <w:webHidden/>
              </w:rPr>
              <w:tab/>
            </w:r>
            <w:r w:rsidR="00D36217">
              <w:rPr>
                <w:noProof/>
                <w:webHidden/>
              </w:rPr>
              <w:fldChar w:fldCharType="begin"/>
            </w:r>
            <w:r w:rsidR="00D36217">
              <w:rPr>
                <w:noProof/>
                <w:webHidden/>
              </w:rPr>
              <w:instrText xml:space="preserve"> PAGEREF _Toc453060471 \h </w:instrText>
            </w:r>
            <w:r w:rsidR="00D36217">
              <w:rPr>
                <w:noProof/>
                <w:webHidden/>
              </w:rPr>
            </w:r>
            <w:r w:rsidR="00D36217">
              <w:rPr>
                <w:noProof/>
                <w:webHidden/>
              </w:rPr>
              <w:fldChar w:fldCharType="separate"/>
            </w:r>
            <w:r w:rsidR="00D36217">
              <w:rPr>
                <w:noProof/>
                <w:webHidden/>
              </w:rPr>
              <w:t>5</w:t>
            </w:r>
            <w:r w:rsidR="00D36217">
              <w:rPr>
                <w:noProof/>
                <w:webHidden/>
              </w:rPr>
              <w:fldChar w:fldCharType="end"/>
            </w:r>
          </w:hyperlink>
        </w:p>
        <w:p w14:paraId="721A7BC0" w14:textId="77777777" w:rsidR="00D36217" w:rsidRDefault="005301C3">
          <w:pPr>
            <w:pStyle w:val="TOC2"/>
            <w:tabs>
              <w:tab w:val="left" w:pos="720"/>
              <w:tab w:val="right" w:pos="9060"/>
            </w:tabs>
            <w:rPr>
              <w:rFonts w:asciiTheme="minorHAnsi" w:eastAsiaTheme="minorEastAsia" w:hAnsiTheme="minorHAnsi" w:cstheme="minorBidi"/>
              <w:iCs w:val="0"/>
              <w:noProof/>
              <w:sz w:val="22"/>
              <w:szCs w:val="22"/>
              <w:lang w:eastAsia="en-NZ"/>
            </w:rPr>
          </w:pPr>
          <w:hyperlink w:anchor="_Toc453060472" w:history="1">
            <w:r w:rsidR="00D36217" w:rsidRPr="00E41729">
              <w:rPr>
                <w:rStyle w:val="Hyperlink"/>
                <w:noProof/>
              </w:rPr>
              <w:t>4.6</w:t>
            </w:r>
            <w:r w:rsidR="00D36217">
              <w:rPr>
                <w:rFonts w:asciiTheme="minorHAnsi" w:eastAsiaTheme="minorEastAsia" w:hAnsiTheme="minorHAnsi" w:cstheme="minorBidi"/>
                <w:iCs w:val="0"/>
                <w:noProof/>
                <w:sz w:val="22"/>
                <w:szCs w:val="22"/>
                <w:lang w:eastAsia="en-NZ"/>
              </w:rPr>
              <w:tab/>
            </w:r>
            <w:r w:rsidR="00D36217" w:rsidRPr="00E41729">
              <w:rPr>
                <w:rStyle w:val="Hyperlink"/>
                <w:noProof/>
              </w:rPr>
              <w:t>Previous review</w:t>
            </w:r>
            <w:r w:rsidR="00D36217">
              <w:rPr>
                <w:noProof/>
                <w:webHidden/>
              </w:rPr>
              <w:tab/>
            </w:r>
            <w:r w:rsidR="00D36217">
              <w:rPr>
                <w:noProof/>
                <w:webHidden/>
              </w:rPr>
              <w:fldChar w:fldCharType="begin"/>
            </w:r>
            <w:r w:rsidR="00D36217">
              <w:rPr>
                <w:noProof/>
                <w:webHidden/>
              </w:rPr>
              <w:instrText xml:space="preserve"> PAGEREF _Toc453060472 \h </w:instrText>
            </w:r>
            <w:r w:rsidR="00D36217">
              <w:rPr>
                <w:noProof/>
                <w:webHidden/>
              </w:rPr>
            </w:r>
            <w:r w:rsidR="00D36217">
              <w:rPr>
                <w:noProof/>
                <w:webHidden/>
              </w:rPr>
              <w:fldChar w:fldCharType="separate"/>
            </w:r>
            <w:r w:rsidR="00D36217">
              <w:rPr>
                <w:noProof/>
                <w:webHidden/>
              </w:rPr>
              <w:t>5</w:t>
            </w:r>
            <w:r w:rsidR="00D36217">
              <w:rPr>
                <w:noProof/>
                <w:webHidden/>
              </w:rPr>
              <w:fldChar w:fldCharType="end"/>
            </w:r>
          </w:hyperlink>
        </w:p>
        <w:p w14:paraId="721A7BC1" w14:textId="77777777" w:rsidR="00D36217" w:rsidRDefault="005301C3">
          <w:pPr>
            <w:pStyle w:val="TOC2"/>
            <w:tabs>
              <w:tab w:val="left" w:pos="720"/>
              <w:tab w:val="right" w:pos="9060"/>
            </w:tabs>
            <w:rPr>
              <w:rFonts w:asciiTheme="minorHAnsi" w:eastAsiaTheme="minorEastAsia" w:hAnsiTheme="minorHAnsi" w:cstheme="minorBidi"/>
              <w:iCs w:val="0"/>
              <w:noProof/>
              <w:sz w:val="22"/>
              <w:szCs w:val="22"/>
              <w:lang w:eastAsia="en-NZ"/>
            </w:rPr>
          </w:pPr>
          <w:hyperlink w:anchor="_Toc453060473" w:history="1">
            <w:r w:rsidR="00D36217" w:rsidRPr="00E41729">
              <w:rPr>
                <w:rStyle w:val="Hyperlink"/>
                <w:noProof/>
              </w:rPr>
              <w:t>4.7</w:t>
            </w:r>
            <w:r w:rsidR="00D36217">
              <w:rPr>
                <w:rFonts w:asciiTheme="minorHAnsi" w:eastAsiaTheme="minorEastAsia" w:hAnsiTheme="minorHAnsi" w:cstheme="minorBidi"/>
                <w:iCs w:val="0"/>
                <w:noProof/>
                <w:sz w:val="22"/>
                <w:szCs w:val="22"/>
                <w:lang w:eastAsia="en-NZ"/>
              </w:rPr>
              <w:tab/>
            </w:r>
            <w:r w:rsidR="00D36217" w:rsidRPr="00E41729">
              <w:rPr>
                <w:rStyle w:val="Hyperlink"/>
                <w:noProof/>
              </w:rPr>
              <w:t>Science information</w:t>
            </w:r>
            <w:r w:rsidR="00D36217">
              <w:rPr>
                <w:noProof/>
                <w:webHidden/>
              </w:rPr>
              <w:tab/>
            </w:r>
            <w:r w:rsidR="00D36217">
              <w:rPr>
                <w:noProof/>
                <w:webHidden/>
              </w:rPr>
              <w:fldChar w:fldCharType="begin"/>
            </w:r>
            <w:r w:rsidR="00D36217">
              <w:rPr>
                <w:noProof/>
                <w:webHidden/>
              </w:rPr>
              <w:instrText xml:space="preserve"> PAGEREF _Toc453060473 \h </w:instrText>
            </w:r>
            <w:r w:rsidR="00D36217">
              <w:rPr>
                <w:noProof/>
                <w:webHidden/>
              </w:rPr>
            </w:r>
            <w:r w:rsidR="00D36217">
              <w:rPr>
                <w:noProof/>
                <w:webHidden/>
              </w:rPr>
              <w:fldChar w:fldCharType="separate"/>
            </w:r>
            <w:r w:rsidR="00D36217">
              <w:rPr>
                <w:noProof/>
                <w:webHidden/>
              </w:rPr>
              <w:t>5</w:t>
            </w:r>
            <w:r w:rsidR="00D36217">
              <w:rPr>
                <w:noProof/>
                <w:webHidden/>
              </w:rPr>
              <w:fldChar w:fldCharType="end"/>
            </w:r>
          </w:hyperlink>
        </w:p>
        <w:p w14:paraId="721A7BC2" w14:textId="77777777" w:rsidR="00D36217" w:rsidRDefault="005301C3">
          <w:pPr>
            <w:pStyle w:val="TOC1"/>
            <w:tabs>
              <w:tab w:val="left" w:pos="720"/>
              <w:tab w:val="right" w:pos="9060"/>
            </w:tabs>
            <w:rPr>
              <w:rFonts w:asciiTheme="minorHAnsi" w:eastAsiaTheme="minorEastAsia" w:hAnsiTheme="minorHAnsi" w:cstheme="minorBidi"/>
              <w:b w:val="0"/>
              <w:bCs w:val="0"/>
              <w:noProof/>
              <w:sz w:val="22"/>
              <w:szCs w:val="22"/>
              <w:lang w:eastAsia="en-NZ"/>
            </w:rPr>
          </w:pPr>
          <w:hyperlink w:anchor="_Toc453060474" w:history="1">
            <w:r w:rsidR="00D36217" w:rsidRPr="00E41729">
              <w:rPr>
                <w:rStyle w:val="Hyperlink"/>
                <w:noProof/>
              </w:rPr>
              <w:t>5</w:t>
            </w:r>
            <w:r w:rsidR="00D36217">
              <w:rPr>
                <w:rFonts w:asciiTheme="minorHAnsi" w:eastAsiaTheme="minorEastAsia" w:hAnsiTheme="minorHAnsi" w:cstheme="minorBidi"/>
                <w:b w:val="0"/>
                <w:bCs w:val="0"/>
                <w:noProof/>
                <w:sz w:val="22"/>
                <w:szCs w:val="22"/>
                <w:lang w:eastAsia="en-NZ"/>
              </w:rPr>
              <w:tab/>
            </w:r>
            <w:r w:rsidR="00D36217" w:rsidRPr="00E41729">
              <w:rPr>
                <w:rStyle w:val="Hyperlink"/>
                <w:noProof/>
              </w:rPr>
              <w:t>Legal Considerations</w:t>
            </w:r>
            <w:r w:rsidR="00D36217">
              <w:rPr>
                <w:noProof/>
                <w:webHidden/>
              </w:rPr>
              <w:tab/>
            </w:r>
            <w:r w:rsidR="00D36217">
              <w:rPr>
                <w:noProof/>
                <w:webHidden/>
              </w:rPr>
              <w:fldChar w:fldCharType="begin"/>
            </w:r>
            <w:r w:rsidR="00D36217">
              <w:rPr>
                <w:noProof/>
                <w:webHidden/>
              </w:rPr>
              <w:instrText xml:space="preserve"> PAGEREF _Toc453060474 \h </w:instrText>
            </w:r>
            <w:r w:rsidR="00D36217">
              <w:rPr>
                <w:noProof/>
                <w:webHidden/>
              </w:rPr>
            </w:r>
            <w:r w:rsidR="00D36217">
              <w:rPr>
                <w:noProof/>
                <w:webHidden/>
              </w:rPr>
              <w:fldChar w:fldCharType="separate"/>
            </w:r>
            <w:r w:rsidR="00D36217">
              <w:rPr>
                <w:noProof/>
                <w:webHidden/>
              </w:rPr>
              <w:t>6</w:t>
            </w:r>
            <w:r w:rsidR="00D36217">
              <w:rPr>
                <w:noProof/>
                <w:webHidden/>
              </w:rPr>
              <w:fldChar w:fldCharType="end"/>
            </w:r>
          </w:hyperlink>
        </w:p>
        <w:p w14:paraId="721A7BC3" w14:textId="77777777" w:rsidR="00D36217" w:rsidRDefault="005301C3">
          <w:pPr>
            <w:pStyle w:val="TOC2"/>
            <w:tabs>
              <w:tab w:val="left" w:pos="720"/>
              <w:tab w:val="right" w:pos="9060"/>
            </w:tabs>
            <w:rPr>
              <w:rFonts w:asciiTheme="minorHAnsi" w:eastAsiaTheme="minorEastAsia" w:hAnsiTheme="minorHAnsi" w:cstheme="minorBidi"/>
              <w:iCs w:val="0"/>
              <w:noProof/>
              <w:sz w:val="22"/>
              <w:szCs w:val="22"/>
              <w:lang w:eastAsia="en-NZ"/>
            </w:rPr>
          </w:pPr>
          <w:hyperlink w:anchor="_Toc453060475" w:history="1">
            <w:r w:rsidR="00D36217" w:rsidRPr="00E41729">
              <w:rPr>
                <w:rStyle w:val="Hyperlink"/>
                <w:noProof/>
              </w:rPr>
              <w:t>5.1</w:t>
            </w:r>
            <w:r w:rsidR="00D36217">
              <w:rPr>
                <w:rFonts w:asciiTheme="minorHAnsi" w:eastAsiaTheme="minorEastAsia" w:hAnsiTheme="minorHAnsi" w:cstheme="minorBidi"/>
                <w:iCs w:val="0"/>
                <w:noProof/>
                <w:sz w:val="22"/>
                <w:szCs w:val="22"/>
                <w:lang w:eastAsia="en-NZ"/>
              </w:rPr>
              <w:tab/>
            </w:r>
            <w:r w:rsidR="00D36217" w:rsidRPr="00E41729">
              <w:rPr>
                <w:rStyle w:val="Hyperlink"/>
                <w:noProof/>
              </w:rPr>
              <w:t>Setting management measures</w:t>
            </w:r>
            <w:r w:rsidR="00D36217">
              <w:rPr>
                <w:noProof/>
                <w:webHidden/>
              </w:rPr>
              <w:tab/>
            </w:r>
            <w:r w:rsidR="00D36217">
              <w:rPr>
                <w:noProof/>
                <w:webHidden/>
              </w:rPr>
              <w:fldChar w:fldCharType="begin"/>
            </w:r>
            <w:r w:rsidR="00D36217">
              <w:rPr>
                <w:noProof/>
                <w:webHidden/>
              </w:rPr>
              <w:instrText xml:space="preserve"> PAGEREF _Toc453060475 \h </w:instrText>
            </w:r>
            <w:r w:rsidR="00D36217">
              <w:rPr>
                <w:noProof/>
                <w:webHidden/>
              </w:rPr>
            </w:r>
            <w:r w:rsidR="00D36217">
              <w:rPr>
                <w:noProof/>
                <w:webHidden/>
              </w:rPr>
              <w:fldChar w:fldCharType="separate"/>
            </w:r>
            <w:r w:rsidR="00D36217">
              <w:rPr>
                <w:noProof/>
                <w:webHidden/>
              </w:rPr>
              <w:t>6</w:t>
            </w:r>
            <w:r w:rsidR="00D36217">
              <w:rPr>
                <w:noProof/>
                <w:webHidden/>
              </w:rPr>
              <w:fldChar w:fldCharType="end"/>
            </w:r>
          </w:hyperlink>
        </w:p>
        <w:p w14:paraId="721A7BC4" w14:textId="77777777" w:rsidR="00D36217" w:rsidRDefault="005301C3">
          <w:pPr>
            <w:pStyle w:val="TOC2"/>
            <w:tabs>
              <w:tab w:val="left" w:pos="720"/>
              <w:tab w:val="right" w:pos="9060"/>
            </w:tabs>
            <w:rPr>
              <w:rFonts w:asciiTheme="minorHAnsi" w:eastAsiaTheme="minorEastAsia" w:hAnsiTheme="minorHAnsi" w:cstheme="minorBidi"/>
              <w:iCs w:val="0"/>
              <w:noProof/>
              <w:sz w:val="22"/>
              <w:szCs w:val="22"/>
              <w:lang w:eastAsia="en-NZ"/>
            </w:rPr>
          </w:pPr>
          <w:hyperlink w:anchor="_Toc453060476" w:history="1">
            <w:r w:rsidR="00D36217" w:rsidRPr="00E41729">
              <w:rPr>
                <w:rStyle w:val="Hyperlink"/>
                <w:noProof/>
              </w:rPr>
              <w:t>5.2</w:t>
            </w:r>
            <w:r w:rsidR="00D36217">
              <w:rPr>
                <w:rFonts w:asciiTheme="minorHAnsi" w:eastAsiaTheme="minorEastAsia" w:hAnsiTheme="minorHAnsi" w:cstheme="minorBidi"/>
                <w:iCs w:val="0"/>
                <w:noProof/>
                <w:sz w:val="22"/>
                <w:szCs w:val="22"/>
                <w:lang w:eastAsia="en-NZ"/>
              </w:rPr>
              <w:tab/>
            </w:r>
            <w:r w:rsidR="00D36217" w:rsidRPr="00E41729">
              <w:rPr>
                <w:rStyle w:val="Hyperlink"/>
                <w:noProof/>
              </w:rPr>
              <w:t>Further considerations</w:t>
            </w:r>
            <w:r w:rsidR="00D36217">
              <w:rPr>
                <w:noProof/>
                <w:webHidden/>
              </w:rPr>
              <w:tab/>
            </w:r>
            <w:r w:rsidR="00D36217">
              <w:rPr>
                <w:noProof/>
                <w:webHidden/>
              </w:rPr>
              <w:fldChar w:fldCharType="begin"/>
            </w:r>
            <w:r w:rsidR="00D36217">
              <w:rPr>
                <w:noProof/>
                <w:webHidden/>
              </w:rPr>
              <w:instrText xml:space="preserve"> PAGEREF _Toc453060476 \h </w:instrText>
            </w:r>
            <w:r w:rsidR="00D36217">
              <w:rPr>
                <w:noProof/>
                <w:webHidden/>
              </w:rPr>
            </w:r>
            <w:r w:rsidR="00D36217">
              <w:rPr>
                <w:noProof/>
                <w:webHidden/>
              </w:rPr>
              <w:fldChar w:fldCharType="separate"/>
            </w:r>
            <w:r w:rsidR="00D36217">
              <w:rPr>
                <w:noProof/>
                <w:webHidden/>
              </w:rPr>
              <w:t>6</w:t>
            </w:r>
            <w:r w:rsidR="00D36217">
              <w:rPr>
                <w:noProof/>
                <w:webHidden/>
              </w:rPr>
              <w:fldChar w:fldCharType="end"/>
            </w:r>
          </w:hyperlink>
        </w:p>
        <w:p w14:paraId="721A7BC5" w14:textId="77777777" w:rsidR="00D36217" w:rsidRDefault="005301C3">
          <w:pPr>
            <w:pStyle w:val="TOC3"/>
            <w:tabs>
              <w:tab w:val="left" w:pos="1440"/>
              <w:tab w:val="right" w:pos="9060"/>
            </w:tabs>
            <w:rPr>
              <w:rFonts w:asciiTheme="minorHAnsi" w:eastAsiaTheme="minorEastAsia" w:hAnsiTheme="minorHAnsi" w:cstheme="minorBidi"/>
              <w:noProof/>
              <w:sz w:val="22"/>
              <w:szCs w:val="22"/>
              <w:lang w:eastAsia="en-NZ"/>
            </w:rPr>
          </w:pPr>
          <w:hyperlink w:anchor="_Toc453060477" w:history="1">
            <w:r w:rsidR="00D36217" w:rsidRPr="00E41729">
              <w:rPr>
                <w:rStyle w:val="Hyperlink"/>
                <w:noProof/>
              </w:rPr>
              <w:t>5.2.1</w:t>
            </w:r>
            <w:r w:rsidR="00D36217">
              <w:rPr>
                <w:rFonts w:asciiTheme="minorHAnsi" w:eastAsiaTheme="minorEastAsia" w:hAnsiTheme="minorHAnsi" w:cstheme="minorBidi"/>
                <w:noProof/>
                <w:sz w:val="22"/>
                <w:szCs w:val="22"/>
                <w:lang w:eastAsia="en-NZ"/>
              </w:rPr>
              <w:tab/>
            </w:r>
            <w:r w:rsidR="00D36217" w:rsidRPr="00E41729">
              <w:rPr>
                <w:rStyle w:val="Hyperlink"/>
                <w:noProof/>
              </w:rPr>
              <w:t>Seabirds, mammals, and protected fish</w:t>
            </w:r>
            <w:r w:rsidR="00D36217">
              <w:rPr>
                <w:noProof/>
                <w:webHidden/>
              </w:rPr>
              <w:tab/>
            </w:r>
            <w:r w:rsidR="00D36217">
              <w:rPr>
                <w:noProof/>
                <w:webHidden/>
              </w:rPr>
              <w:fldChar w:fldCharType="begin"/>
            </w:r>
            <w:r w:rsidR="00D36217">
              <w:rPr>
                <w:noProof/>
                <w:webHidden/>
              </w:rPr>
              <w:instrText xml:space="preserve"> PAGEREF _Toc453060477 \h </w:instrText>
            </w:r>
            <w:r w:rsidR="00D36217">
              <w:rPr>
                <w:noProof/>
                <w:webHidden/>
              </w:rPr>
            </w:r>
            <w:r w:rsidR="00D36217">
              <w:rPr>
                <w:noProof/>
                <w:webHidden/>
              </w:rPr>
              <w:fldChar w:fldCharType="separate"/>
            </w:r>
            <w:r w:rsidR="00D36217">
              <w:rPr>
                <w:noProof/>
                <w:webHidden/>
              </w:rPr>
              <w:t>7</w:t>
            </w:r>
            <w:r w:rsidR="00D36217">
              <w:rPr>
                <w:noProof/>
                <w:webHidden/>
              </w:rPr>
              <w:fldChar w:fldCharType="end"/>
            </w:r>
          </w:hyperlink>
        </w:p>
        <w:p w14:paraId="721A7BC6" w14:textId="77777777" w:rsidR="00D36217" w:rsidRDefault="005301C3">
          <w:pPr>
            <w:pStyle w:val="TOC3"/>
            <w:tabs>
              <w:tab w:val="left" w:pos="1440"/>
              <w:tab w:val="right" w:pos="9060"/>
            </w:tabs>
            <w:rPr>
              <w:rFonts w:asciiTheme="minorHAnsi" w:eastAsiaTheme="minorEastAsia" w:hAnsiTheme="minorHAnsi" w:cstheme="minorBidi"/>
              <w:noProof/>
              <w:sz w:val="22"/>
              <w:szCs w:val="22"/>
              <w:lang w:eastAsia="en-NZ"/>
            </w:rPr>
          </w:pPr>
          <w:hyperlink w:anchor="_Toc453060478" w:history="1">
            <w:r w:rsidR="00D36217" w:rsidRPr="00E41729">
              <w:rPr>
                <w:rStyle w:val="Hyperlink"/>
                <w:noProof/>
              </w:rPr>
              <w:t>5.2.2</w:t>
            </w:r>
            <w:r w:rsidR="00D36217">
              <w:rPr>
                <w:rFonts w:asciiTheme="minorHAnsi" w:eastAsiaTheme="minorEastAsia" w:hAnsiTheme="minorHAnsi" w:cstheme="minorBidi"/>
                <w:noProof/>
                <w:sz w:val="22"/>
                <w:szCs w:val="22"/>
                <w:lang w:eastAsia="en-NZ"/>
              </w:rPr>
              <w:tab/>
            </w:r>
            <w:r w:rsidR="00D36217" w:rsidRPr="00E41729">
              <w:rPr>
                <w:rStyle w:val="Hyperlink"/>
                <w:noProof/>
              </w:rPr>
              <w:t>Benthic impacts</w:t>
            </w:r>
            <w:r w:rsidR="00D36217">
              <w:rPr>
                <w:noProof/>
                <w:webHidden/>
              </w:rPr>
              <w:tab/>
            </w:r>
            <w:r w:rsidR="00D36217">
              <w:rPr>
                <w:noProof/>
                <w:webHidden/>
              </w:rPr>
              <w:fldChar w:fldCharType="begin"/>
            </w:r>
            <w:r w:rsidR="00D36217">
              <w:rPr>
                <w:noProof/>
                <w:webHidden/>
              </w:rPr>
              <w:instrText xml:space="preserve"> PAGEREF _Toc453060478 \h </w:instrText>
            </w:r>
            <w:r w:rsidR="00D36217">
              <w:rPr>
                <w:noProof/>
                <w:webHidden/>
              </w:rPr>
            </w:r>
            <w:r w:rsidR="00D36217">
              <w:rPr>
                <w:noProof/>
                <w:webHidden/>
              </w:rPr>
              <w:fldChar w:fldCharType="separate"/>
            </w:r>
            <w:r w:rsidR="00D36217">
              <w:rPr>
                <w:noProof/>
                <w:webHidden/>
              </w:rPr>
              <w:t>7</w:t>
            </w:r>
            <w:r w:rsidR="00D36217">
              <w:rPr>
                <w:noProof/>
                <w:webHidden/>
              </w:rPr>
              <w:fldChar w:fldCharType="end"/>
            </w:r>
          </w:hyperlink>
        </w:p>
        <w:p w14:paraId="721A7BC7" w14:textId="77777777" w:rsidR="00D36217" w:rsidRDefault="005301C3">
          <w:pPr>
            <w:pStyle w:val="TOC1"/>
            <w:tabs>
              <w:tab w:val="left" w:pos="720"/>
              <w:tab w:val="right" w:pos="9060"/>
            </w:tabs>
            <w:rPr>
              <w:rFonts w:asciiTheme="minorHAnsi" w:eastAsiaTheme="minorEastAsia" w:hAnsiTheme="minorHAnsi" w:cstheme="minorBidi"/>
              <w:b w:val="0"/>
              <w:bCs w:val="0"/>
              <w:noProof/>
              <w:sz w:val="22"/>
              <w:szCs w:val="22"/>
              <w:lang w:eastAsia="en-NZ"/>
            </w:rPr>
          </w:pPr>
          <w:hyperlink w:anchor="_Toc453060479" w:history="1">
            <w:r w:rsidR="00D36217" w:rsidRPr="00E41729">
              <w:rPr>
                <w:rStyle w:val="Hyperlink"/>
                <w:noProof/>
              </w:rPr>
              <w:t>6</w:t>
            </w:r>
            <w:r w:rsidR="00D36217">
              <w:rPr>
                <w:rFonts w:asciiTheme="minorHAnsi" w:eastAsiaTheme="minorEastAsia" w:hAnsiTheme="minorHAnsi" w:cstheme="minorBidi"/>
                <w:b w:val="0"/>
                <w:bCs w:val="0"/>
                <w:noProof/>
                <w:sz w:val="22"/>
                <w:szCs w:val="22"/>
                <w:lang w:eastAsia="en-NZ"/>
              </w:rPr>
              <w:tab/>
            </w:r>
            <w:r w:rsidR="00D36217" w:rsidRPr="00E41729">
              <w:rPr>
                <w:rStyle w:val="Hyperlink"/>
                <w:noProof/>
              </w:rPr>
              <w:t>Proposed Options</w:t>
            </w:r>
            <w:r w:rsidR="00D36217">
              <w:rPr>
                <w:noProof/>
                <w:webHidden/>
              </w:rPr>
              <w:tab/>
            </w:r>
            <w:r w:rsidR="00D36217">
              <w:rPr>
                <w:noProof/>
                <w:webHidden/>
              </w:rPr>
              <w:fldChar w:fldCharType="begin"/>
            </w:r>
            <w:r w:rsidR="00D36217">
              <w:rPr>
                <w:noProof/>
                <w:webHidden/>
              </w:rPr>
              <w:instrText xml:space="preserve"> PAGEREF _Toc453060479 \h </w:instrText>
            </w:r>
            <w:r w:rsidR="00D36217">
              <w:rPr>
                <w:noProof/>
                <w:webHidden/>
              </w:rPr>
            </w:r>
            <w:r w:rsidR="00D36217">
              <w:rPr>
                <w:noProof/>
                <w:webHidden/>
              </w:rPr>
              <w:fldChar w:fldCharType="separate"/>
            </w:r>
            <w:r w:rsidR="00D36217">
              <w:rPr>
                <w:noProof/>
                <w:webHidden/>
              </w:rPr>
              <w:t>7</w:t>
            </w:r>
            <w:r w:rsidR="00D36217">
              <w:rPr>
                <w:noProof/>
                <w:webHidden/>
              </w:rPr>
              <w:fldChar w:fldCharType="end"/>
            </w:r>
          </w:hyperlink>
        </w:p>
        <w:p w14:paraId="721A7BC8" w14:textId="77777777" w:rsidR="00D36217" w:rsidRDefault="005301C3">
          <w:pPr>
            <w:pStyle w:val="TOC2"/>
            <w:tabs>
              <w:tab w:val="left" w:pos="720"/>
              <w:tab w:val="right" w:pos="9060"/>
            </w:tabs>
            <w:rPr>
              <w:rFonts w:asciiTheme="minorHAnsi" w:eastAsiaTheme="minorEastAsia" w:hAnsiTheme="minorHAnsi" w:cstheme="minorBidi"/>
              <w:iCs w:val="0"/>
              <w:noProof/>
              <w:sz w:val="22"/>
              <w:szCs w:val="22"/>
              <w:lang w:eastAsia="en-NZ"/>
            </w:rPr>
          </w:pPr>
          <w:hyperlink w:anchor="_Toc453060480" w:history="1">
            <w:r w:rsidR="00D36217" w:rsidRPr="00E41729">
              <w:rPr>
                <w:rStyle w:val="Hyperlink"/>
                <w:noProof/>
              </w:rPr>
              <w:t>6.1</w:t>
            </w:r>
            <w:r w:rsidR="00D36217">
              <w:rPr>
                <w:rFonts w:asciiTheme="minorHAnsi" w:eastAsiaTheme="minorEastAsia" w:hAnsiTheme="minorHAnsi" w:cstheme="minorBidi"/>
                <w:iCs w:val="0"/>
                <w:noProof/>
                <w:sz w:val="22"/>
                <w:szCs w:val="22"/>
                <w:lang w:eastAsia="en-NZ"/>
              </w:rPr>
              <w:tab/>
            </w:r>
            <w:r w:rsidR="00D36217" w:rsidRPr="00E41729">
              <w:rPr>
                <w:rStyle w:val="Hyperlink"/>
                <w:noProof/>
              </w:rPr>
              <w:t>Option 1</w:t>
            </w:r>
            <w:r w:rsidR="00D36217">
              <w:rPr>
                <w:noProof/>
                <w:webHidden/>
              </w:rPr>
              <w:tab/>
            </w:r>
            <w:r w:rsidR="00D36217">
              <w:rPr>
                <w:noProof/>
                <w:webHidden/>
              </w:rPr>
              <w:fldChar w:fldCharType="begin"/>
            </w:r>
            <w:r w:rsidR="00D36217">
              <w:rPr>
                <w:noProof/>
                <w:webHidden/>
              </w:rPr>
              <w:instrText xml:space="preserve"> PAGEREF _Toc453060480 \h </w:instrText>
            </w:r>
            <w:r w:rsidR="00D36217">
              <w:rPr>
                <w:noProof/>
                <w:webHidden/>
              </w:rPr>
            </w:r>
            <w:r w:rsidR="00D36217">
              <w:rPr>
                <w:noProof/>
                <w:webHidden/>
              </w:rPr>
              <w:fldChar w:fldCharType="separate"/>
            </w:r>
            <w:r w:rsidR="00D36217">
              <w:rPr>
                <w:noProof/>
                <w:webHidden/>
              </w:rPr>
              <w:t>7</w:t>
            </w:r>
            <w:r w:rsidR="00D36217">
              <w:rPr>
                <w:noProof/>
                <w:webHidden/>
              </w:rPr>
              <w:fldChar w:fldCharType="end"/>
            </w:r>
          </w:hyperlink>
        </w:p>
        <w:p w14:paraId="721A7BC9" w14:textId="77777777" w:rsidR="00D36217" w:rsidRDefault="005301C3">
          <w:pPr>
            <w:pStyle w:val="TOC2"/>
            <w:tabs>
              <w:tab w:val="left" w:pos="720"/>
              <w:tab w:val="right" w:pos="9060"/>
            </w:tabs>
            <w:rPr>
              <w:rFonts w:asciiTheme="minorHAnsi" w:eastAsiaTheme="minorEastAsia" w:hAnsiTheme="minorHAnsi" w:cstheme="minorBidi"/>
              <w:iCs w:val="0"/>
              <w:noProof/>
              <w:sz w:val="22"/>
              <w:szCs w:val="22"/>
              <w:lang w:eastAsia="en-NZ"/>
            </w:rPr>
          </w:pPr>
          <w:hyperlink w:anchor="_Toc453060481" w:history="1">
            <w:r w:rsidR="00D36217" w:rsidRPr="00E41729">
              <w:rPr>
                <w:rStyle w:val="Hyperlink"/>
                <w:noProof/>
              </w:rPr>
              <w:t>6.2</w:t>
            </w:r>
            <w:r w:rsidR="00D36217">
              <w:rPr>
                <w:rFonts w:asciiTheme="minorHAnsi" w:eastAsiaTheme="minorEastAsia" w:hAnsiTheme="minorHAnsi" w:cstheme="minorBidi"/>
                <w:iCs w:val="0"/>
                <w:noProof/>
                <w:sz w:val="22"/>
                <w:szCs w:val="22"/>
                <w:lang w:eastAsia="en-NZ"/>
              </w:rPr>
              <w:tab/>
            </w:r>
            <w:r w:rsidR="00D36217" w:rsidRPr="00E41729">
              <w:rPr>
                <w:rStyle w:val="Hyperlink"/>
                <w:noProof/>
              </w:rPr>
              <w:t>Option 2</w:t>
            </w:r>
            <w:r w:rsidR="00D36217">
              <w:rPr>
                <w:noProof/>
                <w:webHidden/>
              </w:rPr>
              <w:tab/>
            </w:r>
            <w:r w:rsidR="00D36217">
              <w:rPr>
                <w:noProof/>
                <w:webHidden/>
              </w:rPr>
              <w:fldChar w:fldCharType="begin"/>
            </w:r>
            <w:r w:rsidR="00D36217">
              <w:rPr>
                <w:noProof/>
                <w:webHidden/>
              </w:rPr>
              <w:instrText xml:space="preserve"> PAGEREF _Toc453060481 \h </w:instrText>
            </w:r>
            <w:r w:rsidR="00D36217">
              <w:rPr>
                <w:noProof/>
                <w:webHidden/>
              </w:rPr>
            </w:r>
            <w:r w:rsidR="00D36217">
              <w:rPr>
                <w:noProof/>
                <w:webHidden/>
              </w:rPr>
              <w:fldChar w:fldCharType="separate"/>
            </w:r>
            <w:r w:rsidR="00D36217">
              <w:rPr>
                <w:noProof/>
                <w:webHidden/>
              </w:rPr>
              <w:t>8</w:t>
            </w:r>
            <w:r w:rsidR="00D36217">
              <w:rPr>
                <w:noProof/>
                <w:webHidden/>
              </w:rPr>
              <w:fldChar w:fldCharType="end"/>
            </w:r>
          </w:hyperlink>
        </w:p>
        <w:p w14:paraId="721A7BCA" w14:textId="77777777" w:rsidR="00D36217" w:rsidRDefault="005301C3">
          <w:pPr>
            <w:pStyle w:val="TOC2"/>
            <w:tabs>
              <w:tab w:val="left" w:pos="720"/>
              <w:tab w:val="right" w:pos="9060"/>
            </w:tabs>
            <w:rPr>
              <w:rFonts w:asciiTheme="minorHAnsi" w:eastAsiaTheme="minorEastAsia" w:hAnsiTheme="minorHAnsi" w:cstheme="minorBidi"/>
              <w:iCs w:val="0"/>
              <w:noProof/>
              <w:sz w:val="22"/>
              <w:szCs w:val="22"/>
              <w:lang w:eastAsia="en-NZ"/>
            </w:rPr>
          </w:pPr>
          <w:hyperlink w:anchor="_Toc453060482" w:history="1">
            <w:r w:rsidR="00D36217" w:rsidRPr="00E41729">
              <w:rPr>
                <w:rStyle w:val="Hyperlink"/>
                <w:noProof/>
              </w:rPr>
              <w:t>6.3</w:t>
            </w:r>
            <w:r w:rsidR="00D36217">
              <w:rPr>
                <w:rFonts w:asciiTheme="minorHAnsi" w:eastAsiaTheme="minorEastAsia" w:hAnsiTheme="minorHAnsi" w:cstheme="minorBidi"/>
                <w:iCs w:val="0"/>
                <w:noProof/>
                <w:sz w:val="22"/>
                <w:szCs w:val="22"/>
                <w:lang w:eastAsia="en-NZ"/>
              </w:rPr>
              <w:tab/>
            </w:r>
            <w:r w:rsidR="00D36217" w:rsidRPr="00E41729">
              <w:rPr>
                <w:rStyle w:val="Hyperlink"/>
                <w:noProof/>
              </w:rPr>
              <w:t>Option 3</w:t>
            </w:r>
            <w:r w:rsidR="00D36217">
              <w:rPr>
                <w:noProof/>
                <w:webHidden/>
              </w:rPr>
              <w:tab/>
            </w:r>
            <w:r w:rsidR="00D36217">
              <w:rPr>
                <w:noProof/>
                <w:webHidden/>
              </w:rPr>
              <w:fldChar w:fldCharType="begin"/>
            </w:r>
            <w:r w:rsidR="00D36217">
              <w:rPr>
                <w:noProof/>
                <w:webHidden/>
              </w:rPr>
              <w:instrText xml:space="preserve"> PAGEREF _Toc453060482 \h </w:instrText>
            </w:r>
            <w:r w:rsidR="00D36217">
              <w:rPr>
                <w:noProof/>
                <w:webHidden/>
              </w:rPr>
            </w:r>
            <w:r w:rsidR="00D36217">
              <w:rPr>
                <w:noProof/>
                <w:webHidden/>
              </w:rPr>
              <w:fldChar w:fldCharType="separate"/>
            </w:r>
            <w:r w:rsidR="00D36217">
              <w:rPr>
                <w:noProof/>
                <w:webHidden/>
              </w:rPr>
              <w:t>8</w:t>
            </w:r>
            <w:r w:rsidR="00D36217">
              <w:rPr>
                <w:noProof/>
                <w:webHidden/>
              </w:rPr>
              <w:fldChar w:fldCharType="end"/>
            </w:r>
          </w:hyperlink>
        </w:p>
        <w:p w14:paraId="721A7BCB" w14:textId="77777777" w:rsidR="00D36217" w:rsidRDefault="005301C3">
          <w:pPr>
            <w:pStyle w:val="TOC1"/>
            <w:tabs>
              <w:tab w:val="left" w:pos="720"/>
              <w:tab w:val="right" w:pos="9060"/>
            </w:tabs>
            <w:rPr>
              <w:rFonts w:asciiTheme="minorHAnsi" w:eastAsiaTheme="minorEastAsia" w:hAnsiTheme="minorHAnsi" w:cstheme="minorBidi"/>
              <w:b w:val="0"/>
              <w:bCs w:val="0"/>
              <w:noProof/>
              <w:sz w:val="22"/>
              <w:szCs w:val="22"/>
              <w:lang w:eastAsia="en-NZ"/>
            </w:rPr>
          </w:pPr>
          <w:hyperlink w:anchor="_Toc453060483" w:history="1">
            <w:r w:rsidR="00D36217" w:rsidRPr="00E41729">
              <w:rPr>
                <w:rStyle w:val="Hyperlink"/>
                <w:noProof/>
              </w:rPr>
              <w:t>7</w:t>
            </w:r>
            <w:r w:rsidR="00D36217">
              <w:rPr>
                <w:rFonts w:asciiTheme="minorHAnsi" w:eastAsiaTheme="minorEastAsia" w:hAnsiTheme="minorHAnsi" w:cstheme="minorBidi"/>
                <w:b w:val="0"/>
                <w:bCs w:val="0"/>
                <w:noProof/>
                <w:sz w:val="22"/>
                <w:szCs w:val="22"/>
                <w:lang w:eastAsia="en-NZ"/>
              </w:rPr>
              <w:tab/>
            </w:r>
            <w:r w:rsidR="00D36217" w:rsidRPr="00E41729">
              <w:rPr>
                <w:rStyle w:val="Hyperlink"/>
                <w:noProof/>
              </w:rPr>
              <w:t>Other Matters</w:t>
            </w:r>
            <w:r w:rsidR="00D36217">
              <w:rPr>
                <w:noProof/>
                <w:webHidden/>
              </w:rPr>
              <w:tab/>
            </w:r>
            <w:r w:rsidR="00D36217">
              <w:rPr>
                <w:noProof/>
                <w:webHidden/>
              </w:rPr>
              <w:fldChar w:fldCharType="begin"/>
            </w:r>
            <w:r w:rsidR="00D36217">
              <w:rPr>
                <w:noProof/>
                <w:webHidden/>
              </w:rPr>
              <w:instrText xml:space="preserve"> PAGEREF _Toc453060483 \h </w:instrText>
            </w:r>
            <w:r w:rsidR="00D36217">
              <w:rPr>
                <w:noProof/>
                <w:webHidden/>
              </w:rPr>
            </w:r>
            <w:r w:rsidR="00D36217">
              <w:rPr>
                <w:noProof/>
                <w:webHidden/>
              </w:rPr>
              <w:fldChar w:fldCharType="separate"/>
            </w:r>
            <w:r w:rsidR="00D36217">
              <w:rPr>
                <w:noProof/>
                <w:webHidden/>
              </w:rPr>
              <w:t>8</w:t>
            </w:r>
            <w:r w:rsidR="00D36217">
              <w:rPr>
                <w:noProof/>
                <w:webHidden/>
              </w:rPr>
              <w:fldChar w:fldCharType="end"/>
            </w:r>
          </w:hyperlink>
        </w:p>
        <w:p w14:paraId="721A7BCC" w14:textId="77777777" w:rsidR="00D36217" w:rsidRDefault="005301C3">
          <w:pPr>
            <w:pStyle w:val="TOC2"/>
            <w:tabs>
              <w:tab w:val="left" w:pos="720"/>
              <w:tab w:val="right" w:pos="9060"/>
            </w:tabs>
            <w:rPr>
              <w:rFonts w:asciiTheme="minorHAnsi" w:eastAsiaTheme="minorEastAsia" w:hAnsiTheme="minorHAnsi" w:cstheme="minorBidi"/>
              <w:iCs w:val="0"/>
              <w:noProof/>
              <w:sz w:val="22"/>
              <w:szCs w:val="22"/>
              <w:lang w:eastAsia="en-NZ"/>
            </w:rPr>
          </w:pPr>
          <w:hyperlink w:anchor="_Toc453060484" w:history="1">
            <w:r w:rsidR="00D36217" w:rsidRPr="00E41729">
              <w:rPr>
                <w:rStyle w:val="Hyperlink"/>
                <w:noProof/>
              </w:rPr>
              <w:t>7.1</w:t>
            </w:r>
            <w:r w:rsidR="00D36217">
              <w:rPr>
                <w:rFonts w:asciiTheme="minorHAnsi" w:eastAsiaTheme="minorEastAsia" w:hAnsiTheme="minorHAnsi" w:cstheme="minorBidi"/>
                <w:iCs w:val="0"/>
                <w:noProof/>
                <w:sz w:val="22"/>
                <w:szCs w:val="22"/>
                <w:lang w:eastAsia="en-NZ"/>
              </w:rPr>
              <w:tab/>
            </w:r>
            <w:r w:rsidR="00D36217" w:rsidRPr="00E41729">
              <w:rPr>
                <w:rStyle w:val="Hyperlink"/>
                <w:noProof/>
              </w:rPr>
              <w:t>Deemed values</w:t>
            </w:r>
            <w:r w:rsidR="00D36217">
              <w:rPr>
                <w:noProof/>
                <w:webHidden/>
              </w:rPr>
              <w:tab/>
            </w:r>
            <w:r w:rsidR="00D36217">
              <w:rPr>
                <w:noProof/>
                <w:webHidden/>
              </w:rPr>
              <w:fldChar w:fldCharType="begin"/>
            </w:r>
            <w:r w:rsidR="00D36217">
              <w:rPr>
                <w:noProof/>
                <w:webHidden/>
              </w:rPr>
              <w:instrText xml:space="preserve"> PAGEREF _Toc453060484 \h </w:instrText>
            </w:r>
            <w:r w:rsidR="00D36217">
              <w:rPr>
                <w:noProof/>
                <w:webHidden/>
              </w:rPr>
            </w:r>
            <w:r w:rsidR="00D36217">
              <w:rPr>
                <w:noProof/>
                <w:webHidden/>
              </w:rPr>
              <w:fldChar w:fldCharType="separate"/>
            </w:r>
            <w:r w:rsidR="00D36217">
              <w:rPr>
                <w:noProof/>
                <w:webHidden/>
              </w:rPr>
              <w:t>8</w:t>
            </w:r>
            <w:r w:rsidR="00D36217">
              <w:rPr>
                <w:noProof/>
                <w:webHidden/>
              </w:rPr>
              <w:fldChar w:fldCharType="end"/>
            </w:r>
          </w:hyperlink>
        </w:p>
        <w:p w14:paraId="721A7BCD" w14:textId="77777777" w:rsidR="00D36217" w:rsidRDefault="005301C3">
          <w:pPr>
            <w:pStyle w:val="TOC1"/>
            <w:tabs>
              <w:tab w:val="left" w:pos="720"/>
              <w:tab w:val="right" w:pos="9060"/>
            </w:tabs>
            <w:rPr>
              <w:rFonts w:asciiTheme="minorHAnsi" w:eastAsiaTheme="minorEastAsia" w:hAnsiTheme="minorHAnsi" w:cstheme="minorBidi"/>
              <w:b w:val="0"/>
              <w:bCs w:val="0"/>
              <w:noProof/>
              <w:sz w:val="22"/>
              <w:szCs w:val="22"/>
              <w:lang w:eastAsia="en-NZ"/>
            </w:rPr>
          </w:pPr>
          <w:hyperlink w:anchor="_Toc453060485" w:history="1">
            <w:r w:rsidR="00D36217" w:rsidRPr="00E41729">
              <w:rPr>
                <w:rStyle w:val="Hyperlink"/>
                <w:noProof/>
              </w:rPr>
              <w:t>8</w:t>
            </w:r>
            <w:r w:rsidR="00D36217">
              <w:rPr>
                <w:rFonts w:asciiTheme="minorHAnsi" w:eastAsiaTheme="minorEastAsia" w:hAnsiTheme="minorHAnsi" w:cstheme="minorBidi"/>
                <w:b w:val="0"/>
                <w:bCs w:val="0"/>
                <w:noProof/>
                <w:sz w:val="22"/>
                <w:szCs w:val="22"/>
                <w:lang w:eastAsia="en-NZ"/>
              </w:rPr>
              <w:tab/>
            </w:r>
            <w:r w:rsidR="00D36217" w:rsidRPr="00E41729">
              <w:rPr>
                <w:rStyle w:val="Hyperlink"/>
                <w:noProof/>
              </w:rPr>
              <w:t>Conclusion</w:t>
            </w:r>
            <w:r w:rsidR="00D36217">
              <w:rPr>
                <w:noProof/>
                <w:webHidden/>
              </w:rPr>
              <w:tab/>
            </w:r>
            <w:r w:rsidR="00D36217">
              <w:rPr>
                <w:noProof/>
                <w:webHidden/>
              </w:rPr>
              <w:fldChar w:fldCharType="begin"/>
            </w:r>
            <w:r w:rsidR="00D36217">
              <w:rPr>
                <w:noProof/>
                <w:webHidden/>
              </w:rPr>
              <w:instrText xml:space="preserve"> PAGEREF _Toc453060485 \h </w:instrText>
            </w:r>
            <w:r w:rsidR="00D36217">
              <w:rPr>
                <w:noProof/>
                <w:webHidden/>
              </w:rPr>
            </w:r>
            <w:r w:rsidR="00D36217">
              <w:rPr>
                <w:noProof/>
                <w:webHidden/>
              </w:rPr>
              <w:fldChar w:fldCharType="separate"/>
            </w:r>
            <w:r w:rsidR="00D36217">
              <w:rPr>
                <w:noProof/>
                <w:webHidden/>
              </w:rPr>
              <w:t>8</w:t>
            </w:r>
            <w:r w:rsidR="00D36217">
              <w:rPr>
                <w:noProof/>
                <w:webHidden/>
              </w:rPr>
              <w:fldChar w:fldCharType="end"/>
            </w:r>
          </w:hyperlink>
        </w:p>
        <w:p w14:paraId="721A7BCE" w14:textId="77777777" w:rsidR="00741C70" w:rsidRDefault="00D36217">
          <w:r>
            <w:rPr>
              <w:rFonts w:ascii="Arial Narrow" w:hAnsi="Arial Narrow"/>
              <w:b/>
              <w:bCs/>
            </w:rPr>
            <w:fldChar w:fldCharType="end"/>
          </w:r>
        </w:p>
      </w:sdtContent>
    </w:sdt>
    <w:p w14:paraId="721A7BCF" w14:textId="77777777" w:rsidR="00D43B54" w:rsidRDefault="005A6E43">
      <w:r>
        <w:br w:type="page"/>
      </w:r>
    </w:p>
    <w:p w14:paraId="721A7BD0" w14:textId="77777777" w:rsidR="00D43B54" w:rsidRDefault="00D43B54">
      <w:pPr>
        <w:sectPr w:rsidR="00D43B54">
          <w:footerReference w:type="even" r:id="rId19"/>
          <w:footerReference w:type="default" r:id="rId20"/>
          <w:type w:val="oddPage"/>
          <w:pgSz w:w="11906" w:h="16838"/>
          <w:pgMar w:top="1134" w:right="1418" w:bottom="1134" w:left="1418" w:header="720" w:footer="720" w:gutter="0"/>
          <w:pgNumType w:start="1"/>
          <w:cols w:space="720"/>
        </w:sectPr>
      </w:pPr>
    </w:p>
    <w:p w14:paraId="721A7BD1" w14:textId="77777777" w:rsidR="00D43B54" w:rsidRDefault="00D43B54">
      <w:pPr>
        <w:sectPr w:rsidR="00D43B54">
          <w:footerReference w:type="default" r:id="rId21"/>
          <w:type w:val="oddPage"/>
          <w:pgSz w:w="11906" w:h="16838"/>
          <w:pgMar w:top="1134" w:right="1418" w:bottom="1134" w:left="1418" w:header="720" w:footer="720" w:gutter="0"/>
          <w:pgNumType w:start="1"/>
          <w:cols w:space="720"/>
        </w:sectPr>
      </w:pPr>
    </w:p>
    <w:p w14:paraId="721A7BD2" w14:textId="77777777" w:rsidR="00D43B54" w:rsidRDefault="00D43B54">
      <w:pPr>
        <w:rPr>
          <w:rFonts w:ascii="Arial Narrow" w:hAnsi="Arial Narrow"/>
          <w:b/>
          <w:kern w:val="28"/>
          <w:sz w:val="36"/>
        </w:rPr>
      </w:pPr>
    </w:p>
    <w:p w14:paraId="721A7BD3" w14:textId="77777777" w:rsidR="006112A8" w:rsidRDefault="006112A8" w:rsidP="00530BA3">
      <w:pPr>
        <w:pStyle w:val="Heading1"/>
        <w:numPr>
          <w:ilvl w:val="0"/>
          <w:numId w:val="6"/>
        </w:numPr>
      </w:pPr>
      <w:bookmarkStart w:id="6" w:name="_Toc453060460"/>
      <w:r w:rsidRPr="005A6E43">
        <w:t>Submission</w:t>
      </w:r>
      <w:r>
        <w:t xml:space="preserve"> Information</w:t>
      </w:r>
      <w:bookmarkEnd w:id="6"/>
      <w:bookmarkEnd w:id="4"/>
      <w:bookmarkEnd w:id="3"/>
      <w:bookmarkEnd w:id="2"/>
      <w:bookmarkEnd w:id="1"/>
    </w:p>
    <w:p w14:paraId="721A7BD4" w14:textId="77777777" w:rsidR="006112A8" w:rsidRDefault="006112A8" w:rsidP="00530BA3">
      <w:r>
        <w:t>MPI welcomes written submissions on any or all of the proposals contained in the Consultation Document. All written submissions must be receiv</w:t>
      </w:r>
      <w:r w:rsidR="00484983">
        <w:t xml:space="preserve">ed by MPI </w:t>
      </w:r>
      <w:r w:rsidR="006435D5">
        <w:t xml:space="preserve">no later than 5pm </w:t>
      </w:r>
      <w:r w:rsidR="006435D5" w:rsidRPr="00551242">
        <w:t xml:space="preserve">on </w:t>
      </w:r>
      <w:r w:rsidR="00D36217">
        <w:t>Monday 11 July</w:t>
      </w:r>
      <w:r w:rsidR="00484983" w:rsidRPr="00551242">
        <w:t xml:space="preserve"> 2016</w:t>
      </w:r>
      <w:r w:rsidRPr="00551242">
        <w:t>.</w:t>
      </w:r>
    </w:p>
    <w:p w14:paraId="721A7BD5" w14:textId="77777777" w:rsidR="006112A8" w:rsidRDefault="006112A8" w:rsidP="00530BA3"/>
    <w:p w14:paraId="721A7BD6" w14:textId="77777777" w:rsidR="006112A8" w:rsidRDefault="006112A8" w:rsidP="00530BA3">
      <w:r>
        <w:t>Written submissions should be sent directly to:</w:t>
      </w:r>
    </w:p>
    <w:p w14:paraId="721A7BD7" w14:textId="77777777" w:rsidR="006112A8" w:rsidRDefault="006435D5" w:rsidP="00530BA3">
      <w:pPr>
        <w:ind w:firstLine="720"/>
      </w:pPr>
      <w:r w:rsidRPr="00551242">
        <w:t>Deepwater</w:t>
      </w:r>
      <w:r w:rsidR="006112A8" w:rsidRPr="00551242">
        <w:t xml:space="preserve"> Fisheries Management</w:t>
      </w:r>
    </w:p>
    <w:p w14:paraId="721A7BD8" w14:textId="77777777" w:rsidR="006112A8" w:rsidRDefault="006112A8" w:rsidP="00530BA3">
      <w:pPr>
        <w:ind w:firstLine="720"/>
      </w:pPr>
      <w:r>
        <w:t>Ministry for Primary Industries</w:t>
      </w:r>
    </w:p>
    <w:p w14:paraId="721A7BD9" w14:textId="77777777" w:rsidR="006112A8" w:rsidRDefault="006112A8" w:rsidP="00530BA3">
      <w:pPr>
        <w:ind w:firstLine="720"/>
      </w:pPr>
      <w:r>
        <w:t>P O Box 2526</w:t>
      </w:r>
    </w:p>
    <w:p w14:paraId="721A7BDA" w14:textId="77777777" w:rsidR="006112A8" w:rsidRDefault="006112A8" w:rsidP="00530BA3">
      <w:pPr>
        <w:ind w:firstLine="720"/>
      </w:pPr>
      <w:r>
        <w:t>Wellington 6011</w:t>
      </w:r>
    </w:p>
    <w:p w14:paraId="721A7BDB" w14:textId="77777777" w:rsidR="006112A8" w:rsidRDefault="006112A8" w:rsidP="00530BA3"/>
    <w:p w14:paraId="721A7BDC" w14:textId="77777777" w:rsidR="006112A8" w:rsidRDefault="006112A8" w:rsidP="00530BA3">
      <w:r>
        <w:t xml:space="preserve">or emailed to </w:t>
      </w:r>
      <w:hyperlink r:id="rId22" w:history="1">
        <w:r w:rsidRPr="00EF3BB0">
          <w:rPr>
            <w:rStyle w:val="Hyperlink"/>
          </w:rPr>
          <w:t>FMsubmissions@mpi.govt.nz</w:t>
        </w:r>
      </w:hyperlink>
    </w:p>
    <w:p w14:paraId="721A7BDD" w14:textId="77777777" w:rsidR="006112A8" w:rsidRDefault="006112A8" w:rsidP="006B434C">
      <w:pPr>
        <w:spacing w:line="276" w:lineRule="auto"/>
      </w:pPr>
    </w:p>
    <w:p w14:paraId="721A7BDE" w14:textId="77777777" w:rsidR="006112A8" w:rsidRPr="006E566D" w:rsidRDefault="0055294B" w:rsidP="00530BA3">
      <w:pPr>
        <w:pStyle w:val="Heading2"/>
      </w:pPr>
      <w:bookmarkStart w:id="7" w:name="_Toc418844528"/>
      <w:bookmarkStart w:id="8" w:name="_Toc419282879"/>
      <w:bookmarkStart w:id="9" w:name="_Toc421070750"/>
      <w:bookmarkStart w:id="10" w:name="_Toc421169168"/>
      <w:bookmarkStart w:id="11" w:name="_Toc421169289"/>
      <w:bookmarkStart w:id="12" w:name="_Toc421169804"/>
      <w:bookmarkStart w:id="13" w:name="_Toc436817160"/>
      <w:bookmarkStart w:id="14" w:name="_Toc453060461"/>
      <w:r>
        <w:t xml:space="preserve">Official </w:t>
      </w:r>
      <w:r w:rsidRPr="005A6E43">
        <w:t>Information</w:t>
      </w:r>
      <w:r>
        <w:t xml:space="preserve"> Act</w:t>
      </w:r>
      <w:r w:rsidR="006112A8" w:rsidRPr="006E566D">
        <w:t xml:space="preserve"> 1982</w:t>
      </w:r>
      <w:bookmarkEnd w:id="7"/>
      <w:bookmarkEnd w:id="8"/>
      <w:bookmarkEnd w:id="9"/>
      <w:bookmarkEnd w:id="10"/>
      <w:bookmarkEnd w:id="11"/>
      <w:bookmarkEnd w:id="12"/>
      <w:bookmarkEnd w:id="13"/>
      <w:bookmarkEnd w:id="14"/>
    </w:p>
    <w:p w14:paraId="721A7BDF" w14:textId="77777777" w:rsidR="006112A8" w:rsidRDefault="006112A8" w:rsidP="00530BA3">
      <w:pPr>
        <w:rPr>
          <w:szCs w:val="24"/>
        </w:rPr>
      </w:pPr>
      <w:r>
        <w:t xml:space="preserve">All submissions are subject to the Official Information Act and can be released (along with </w:t>
      </w:r>
      <w:r>
        <w:rPr>
          <w:szCs w:val="24"/>
        </w:rPr>
        <w:t>personal details</w:t>
      </w:r>
      <w:r w:rsidRPr="00A061F7">
        <w:rPr>
          <w:szCs w:val="24"/>
        </w:rPr>
        <w:t xml:space="preserve"> of the submitter) under the Act. If you have specific reasons for wanting to have your submission or </w:t>
      </w:r>
      <w:r>
        <w:rPr>
          <w:szCs w:val="24"/>
        </w:rPr>
        <w:t>personal details</w:t>
      </w:r>
      <w:r w:rsidRPr="00A061F7">
        <w:rPr>
          <w:szCs w:val="24"/>
        </w:rPr>
        <w:t xml:space="preserve"> withheld, please set out your reasons in the submission. MPI will consider those reasons when making any assessment for the release of submissions if requested under the Official Information Act. </w:t>
      </w:r>
    </w:p>
    <w:p w14:paraId="721A7BE0" w14:textId="77777777" w:rsidR="00154A09" w:rsidRDefault="00154A09" w:rsidP="006B434C">
      <w:pPr>
        <w:spacing w:line="276" w:lineRule="auto"/>
      </w:pPr>
    </w:p>
    <w:p w14:paraId="721A7BE1" w14:textId="77777777" w:rsidR="00154A09" w:rsidRDefault="00154A09" w:rsidP="006B434C">
      <w:pPr>
        <w:spacing w:line="276" w:lineRule="auto"/>
      </w:pPr>
    </w:p>
    <w:p w14:paraId="721A7BE2" w14:textId="77777777" w:rsidR="00154A09" w:rsidRDefault="00154A09" w:rsidP="006B434C">
      <w:pPr>
        <w:spacing w:line="276" w:lineRule="auto"/>
      </w:pPr>
    </w:p>
    <w:p w14:paraId="721A7BE3" w14:textId="77777777" w:rsidR="00154A09" w:rsidRDefault="00154A09" w:rsidP="006B434C">
      <w:pPr>
        <w:tabs>
          <w:tab w:val="left" w:pos="8250"/>
        </w:tabs>
        <w:spacing w:line="276" w:lineRule="auto"/>
      </w:pPr>
      <w:r>
        <w:tab/>
      </w:r>
    </w:p>
    <w:bookmarkEnd w:id="5"/>
    <w:p w14:paraId="721A7BE4" w14:textId="77777777" w:rsidR="00C52F0C" w:rsidRDefault="00C52F0C" w:rsidP="006B434C">
      <w:pPr>
        <w:keepNext/>
        <w:spacing w:line="276" w:lineRule="auto"/>
        <w:jc w:val="center"/>
        <w:rPr>
          <w:noProof/>
          <w:lang w:eastAsia="en-NZ"/>
        </w:rPr>
        <w:sectPr w:rsidR="00C52F0C" w:rsidSect="00D43B54">
          <w:type w:val="continuous"/>
          <w:pgSz w:w="11906" w:h="16838"/>
          <w:pgMar w:top="1134" w:right="1418" w:bottom="1134" w:left="1418" w:header="720" w:footer="720" w:gutter="0"/>
          <w:pgNumType w:start="1"/>
          <w:cols w:space="720"/>
        </w:sectPr>
      </w:pPr>
    </w:p>
    <w:p w14:paraId="721A7BE5" w14:textId="77777777" w:rsidR="004D676C" w:rsidRDefault="004D676C" w:rsidP="006B434C">
      <w:pPr>
        <w:keepNext/>
        <w:spacing w:line="276" w:lineRule="auto"/>
        <w:jc w:val="center"/>
        <w:rPr>
          <w:noProof/>
          <w:lang w:eastAsia="en-NZ"/>
        </w:rPr>
      </w:pPr>
    </w:p>
    <w:p w14:paraId="721A7BE6" w14:textId="77777777" w:rsidR="00CA7294" w:rsidRDefault="000F3E4A" w:rsidP="006B434C">
      <w:pPr>
        <w:keepNext/>
        <w:spacing w:line="276" w:lineRule="auto"/>
        <w:jc w:val="center"/>
      </w:pPr>
      <w:r w:rsidRPr="000F3E4A">
        <w:rPr>
          <w:noProof/>
          <w:lang w:eastAsia="en-NZ"/>
        </w:rPr>
        <w:drawing>
          <wp:inline distT="0" distB="0" distL="0" distR="0" wp14:anchorId="721A7C8C" wp14:editId="721A7C8D">
            <wp:extent cx="3209925" cy="3387351"/>
            <wp:effectExtent l="19050" t="19050" r="9525" b="22860"/>
            <wp:docPr id="3" name="Picture 3" descr="M:\DeepWater\01 Fish Stock Management\Holding Folder 1 Oct Sustainability 2016\QMA maps\SQU1J_with_lab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eepWater\01 Fish Stock Management\Holding Folder 1 Oct Sustainability 2016\QMA maps\SQU1J_with_label.jpg"/>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3232" r="31022"/>
                    <a:stretch/>
                  </pic:blipFill>
                  <pic:spPr bwMode="auto">
                    <a:xfrm>
                      <a:off x="0" y="0"/>
                      <a:ext cx="3210680" cy="3388148"/>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721A7BE7" w14:textId="77777777" w:rsidR="003E14F9" w:rsidRDefault="003E14F9" w:rsidP="006B434C">
      <w:pPr>
        <w:pStyle w:val="TableMainTitle"/>
        <w:spacing w:line="276" w:lineRule="auto"/>
      </w:pPr>
    </w:p>
    <w:p w14:paraId="721A7BE8" w14:textId="77777777" w:rsidR="008741A7" w:rsidRDefault="00710807" w:rsidP="006B434C">
      <w:pPr>
        <w:pStyle w:val="TableMainTitle"/>
        <w:spacing w:line="276" w:lineRule="auto"/>
        <w:rPr>
          <w:sz w:val="22"/>
          <w:szCs w:val="22"/>
        </w:rPr>
      </w:pPr>
      <w:r w:rsidRPr="002466BA">
        <w:rPr>
          <w:sz w:val="22"/>
          <w:szCs w:val="22"/>
        </w:rPr>
        <w:t xml:space="preserve">Figure </w:t>
      </w:r>
      <w:r w:rsidR="00A56B30" w:rsidRPr="002466BA">
        <w:rPr>
          <w:sz w:val="22"/>
          <w:szCs w:val="22"/>
        </w:rPr>
        <w:t>1</w:t>
      </w:r>
      <w:r w:rsidRPr="002466BA">
        <w:rPr>
          <w:sz w:val="22"/>
          <w:szCs w:val="22"/>
        </w:rPr>
        <w:t xml:space="preserve">: </w:t>
      </w:r>
      <w:bookmarkStart w:id="15" w:name="_Toc421169849"/>
      <w:r w:rsidR="00EB3173">
        <w:rPr>
          <w:sz w:val="22"/>
          <w:szCs w:val="22"/>
        </w:rPr>
        <w:t>Quota m</w:t>
      </w:r>
      <w:r w:rsidR="00CA7294" w:rsidRPr="002466BA">
        <w:rPr>
          <w:sz w:val="22"/>
          <w:szCs w:val="22"/>
        </w:rPr>
        <w:t>anageme</w:t>
      </w:r>
      <w:r w:rsidR="00EB3173">
        <w:rPr>
          <w:sz w:val="22"/>
          <w:szCs w:val="22"/>
        </w:rPr>
        <w:t>nt a</w:t>
      </w:r>
      <w:r w:rsidR="00CA7294" w:rsidRPr="002466BA">
        <w:rPr>
          <w:sz w:val="22"/>
          <w:szCs w:val="22"/>
        </w:rPr>
        <w:t xml:space="preserve">rea </w:t>
      </w:r>
      <w:r w:rsidR="00EB3173">
        <w:rPr>
          <w:sz w:val="22"/>
          <w:szCs w:val="22"/>
        </w:rPr>
        <w:t>(QMA) for the squid j</w:t>
      </w:r>
      <w:r w:rsidR="003E14F9" w:rsidRPr="002466BA">
        <w:rPr>
          <w:sz w:val="22"/>
          <w:szCs w:val="22"/>
        </w:rPr>
        <w:t>igging</w:t>
      </w:r>
      <w:r w:rsidR="00EB3173">
        <w:rPr>
          <w:sz w:val="22"/>
          <w:szCs w:val="22"/>
        </w:rPr>
        <w:t xml:space="preserve"> f</w:t>
      </w:r>
      <w:r w:rsidR="00CA7294" w:rsidRPr="002466BA">
        <w:rPr>
          <w:sz w:val="22"/>
          <w:szCs w:val="22"/>
        </w:rPr>
        <w:t>ishery</w:t>
      </w:r>
      <w:r w:rsidR="003E14F9" w:rsidRPr="002466BA">
        <w:rPr>
          <w:sz w:val="22"/>
          <w:szCs w:val="22"/>
        </w:rPr>
        <w:t xml:space="preserve"> (SQU</w:t>
      </w:r>
      <w:r w:rsidR="0043550C">
        <w:rPr>
          <w:sz w:val="22"/>
          <w:szCs w:val="22"/>
        </w:rPr>
        <w:t xml:space="preserve"> </w:t>
      </w:r>
      <w:r w:rsidR="003E14F9" w:rsidRPr="002466BA">
        <w:rPr>
          <w:sz w:val="22"/>
          <w:szCs w:val="22"/>
        </w:rPr>
        <w:t>1J</w:t>
      </w:r>
      <w:r w:rsidR="008966AF" w:rsidRPr="002466BA">
        <w:rPr>
          <w:sz w:val="22"/>
          <w:szCs w:val="22"/>
        </w:rPr>
        <w:t>)</w:t>
      </w:r>
    </w:p>
    <w:p w14:paraId="721A7BE9" w14:textId="77777777" w:rsidR="00530BA3" w:rsidRDefault="00530BA3" w:rsidP="006B434C">
      <w:pPr>
        <w:pStyle w:val="TableMainTitle"/>
        <w:spacing w:line="276" w:lineRule="auto"/>
        <w:rPr>
          <w:sz w:val="22"/>
          <w:szCs w:val="22"/>
        </w:rPr>
      </w:pPr>
    </w:p>
    <w:p w14:paraId="721A7BEA" w14:textId="77777777" w:rsidR="00710807" w:rsidRPr="006B434C" w:rsidRDefault="00710807" w:rsidP="00530BA3">
      <w:pPr>
        <w:pStyle w:val="Heading1"/>
      </w:pPr>
      <w:bookmarkStart w:id="16" w:name="_Toc436817012"/>
      <w:bookmarkStart w:id="17" w:name="_Toc436817161"/>
      <w:bookmarkStart w:id="18" w:name="_Toc453060462"/>
      <w:r w:rsidRPr="00530BA3">
        <w:t>Executive</w:t>
      </w:r>
      <w:r w:rsidRPr="006B434C">
        <w:t xml:space="preserve"> Summary</w:t>
      </w:r>
      <w:bookmarkEnd w:id="15"/>
      <w:bookmarkEnd w:id="16"/>
      <w:bookmarkEnd w:id="17"/>
      <w:bookmarkEnd w:id="18"/>
    </w:p>
    <w:p w14:paraId="721A7BEB" w14:textId="77777777" w:rsidR="00442C2B" w:rsidRDefault="00710807" w:rsidP="00530BA3">
      <w:r w:rsidRPr="00690ABF">
        <w:t xml:space="preserve">The Ministry for Primary Industries (MPI) is seeking </w:t>
      </w:r>
      <w:r>
        <w:t xml:space="preserve">information and views from tangata whenua and stakeholders </w:t>
      </w:r>
      <w:r w:rsidRPr="00487BFD">
        <w:t>to inform a review of catch limits for</w:t>
      </w:r>
      <w:r w:rsidR="008F5D4C">
        <w:t xml:space="preserve"> </w:t>
      </w:r>
      <w:r w:rsidR="00442C2B">
        <w:rPr>
          <w:bCs/>
        </w:rPr>
        <w:t>the a</w:t>
      </w:r>
      <w:r w:rsidR="00442C2B" w:rsidRPr="00442C2B">
        <w:rPr>
          <w:bCs/>
        </w:rPr>
        <w:t xml:space="preserve">rrow </w:t>
      </w:r>
      <w:r w:rsidR="00442C2B">
        <w:rPr>
          <w:bCs/>
        </w:rPr>
        <w:t>squid j</w:t>
      </w:r>
      <w:r w:rsidR="00442C2B" w:rsidRPr="00442C2B">
        <w:rPr>
          <w:bCs/>
        </w:rPr>
        <w:t>igging</w:t>
      </w:r>
      <w:r w:rsidR="00442C2B">
        <w:rPr>
          <w:bCs/>
        </w:rPr>
        <w:t xml:space="preserve"> f</w:t>
      </w:r>
      <w:r w:rsidR="00442C2B" w:rsidRPr="00442C2B">
        <w:rPr>
          <w:bCs/>
        </w:rPr>
        <w:t>ish</w:t>
      </w:r>
      <w:r w:rsidR="002D2A99">
        <w:rPr>
          <w:bCs/>
        </w:rPr>
        <w:t>stock</w:t>
      </w:r>
      <w:r w:rsidR="00442C2B" w:rsidRPr="00442C2B">
        <w:rPr>
          <w:bCs/>
        </w:rPr>
        <w:t xml:space="preserve"> </w:t>
      </w:r>
      <w:r w:rsidR="00A54907">
        <w:rPr>
          <w:bCs/>
        </w:rPr>
        <w:t>SQU 1J</w:t>
      </w:r>
      <w:r w:rsidRPr="00487BFD">
        <w:t>.</w:t>
      </w:r>
      <w:r w:rsidR="00CB0EAA">
        <w:t xml:space="preserve"> </w:t>
      </w:r>
      <w:r w:rsidR="00442C2B">
        <w:t>Arrow squid (wheketere)</w:t>
      </w:r>
      <w:r w:rsidR="003163CB">
        <w:t xml:space="preserve"> were</w:t>
      </w:r>
      <w:r w:rsidR="000F168E">
        <w:t xml:space="preserve"> introduced into the </w:t>
      </w:r>
      <w:r w:rsidR="00BB0A5B">
        <w:t>quota management system (</w:t>
      </w:r>
      <w:r w:rsidR="000F168E">
        <w:t>QMS</w:t>
      </w:r>
      <w:r w:rsidR="00BB0A5B">
        <w:t>)</w:t>
      </w:r>
      <w:r w:rsidR="00442C2B">
        <w:t xml:space="preserve"> in 1987</w:t>
      </w:r>
      <w:r w:rsidR="000F168E">
        <w:t xml:space="preserve"> with </w:t>
      </w:r>
      <w:r w:rsidR="00442C2B">
        <w:t>quota management areas</w:t>
      </w:r>
      <w:r w:rsidR="002D2A99">
        <w:t xml:space="preserve"> (QMAs)</w:t>
      </w:r>
      <w:r w:rsidR="00442C2B">
        <w:t xml:space="preserve"> </w:t>
      </w:r>
      <w:r w:rsidR="000F168E" w:rsidRPr="000F168E">
        <w:t>set</w:t>
      </w:r>
      <w:r w:rsidR="002D2A99">
        <w:t xml:space="preserve"> based on a combination of fishing method and geographical area. Three QMAs</w:t>
      </w:r>
      <w:r w:rsidR="000F168E" w:rsidRPr="000F168E">
        <w:t xml:space="preserve"> </w:t>
      </w:r>
      <w:r w:rsidR="002D2A99">
        <w:t>were set, two method-specific (SQU</w:t>
      </w:r>
      <w:r w:rsidR="00B653F8">
        <w:t xml:space="preserve"> </w:t>
      </w:r>
      <w:r w:rsidR="002D2A99">
        <w:t>1J and SQU 1T) and one standard QMA (SQU</w:t>
      </w:r>
      <w:r w:rsidR="00E86DC4">
        <w:t xml:space="preserve"> </w:t>
      </w:r>
      <w:r w:rsidR="002D2A99">
        <w:t xml:space="preserve">6T). </w:t>
      </w:r>
      <w:r w:rsidR="003E14F9">
        <w:t xml:space="preserve">The </w:t>
      </w:r>
      <w:r w:rsidR="00A54907">
        <w:t>SQU 1J</w:t>
      </w:r>
      <w:r w:rsidR="003E14F9">
        <w:t xml:space="preserve"> </w:t>
      </w:r>
      <w:r w:rsidR="002D2A99">
        <w:t xml:space="preserve">QMA </w:t>
      </w:r>
      <w:r w:rsidR="003163CB">
        <w:t xml:space="preserve">(Figure 1) </w:t>
      </w:r>
      <w:r w:rsidR="002D2A99">
        <w:t xml:space="preserve">is </w:t>
      </w:r>
      <w:r w:rsidR="003E14F9">
        <w:t>defined as all New Zealand fisheries waters other than the Kermadec and Southern Islands Area with a method of fishing of jigging (being any fishing method for taking squid by means of a line rather than a net).</w:t>
      </w:r>
      <w:r w:rsidR="008741A7">
        <w:t xml:space="preserve"> </w:t>
      </w:r>
    </w:p>
    <w:p w14:paraId="721A7BEC" w14:textId="77777777" w:rsidR="00442C2B" w:rsidRDefault="00442C2B" w:rsidP="00530BA3"/>
    <w:p w14:paraId="721A7BED" w14:textId="77777777" w:rsidR="00245DEE" w:rsidRDefault="00245DEE" w:rsidP="00530BA3">
      <w:r>
        <w:t xml:space="preserve">The initial </w:t>
      </w:r>
      <w:r w:rsidR="005B218D">
        <w:t>total allowable commercial c</w:t>
      </w:r>
      <w:r w:rsidR="003163CB">
        <w:t>atch (</w:t>
      </w:r>
      <w:r>
        <w:t>TAC</w:t>
      </w:r>
      <w:r w:rsidR="003163CB">
        <w:t>C)</w:t>
      </w:r>
      <w:r>
        <w:t xml:space="preserve"> set in 1987</w:t>
      </w:r>
      <w:r w:rsidR="00B3261B">
        <w:t xml:space="preserve"> was 57,705 tonnes based on historical catches achieved during the early 1980s when over 200 vessels were active in the fishery. Over the next </w:t>
      </w:r>
      <w:r w:rsidR="002D2A99">
        <w:t xml:space="preserve">ten years the TACC fluctuated due to Quota Appeal Authority (QAA) decisions and catch limit reviews. The TACC has not been adjusted since 1996/97 when </w:t>
      </w:r>
      <w:r w:rsidR="007965D9">
        <w:t>it</w:t>
      </w:r>
      <w:r w:rsidR="002D2A99">
        <w:t xml:space="preserve"> was set</w:t>
      </w:r>
      <w:r>
        <w:t xml:space="preserve"> </w:t>
      </w:r>
      <w:r w:rsidR="002D2A99">
        <w:t>at</w:t>
      </w:r>
      <w:r>
        <w:t xml:space="preserve"> 50,212 tonnes</w:t>
      </w:r>
      <w:r w:rsidR="002D2A99">
        <w:t>.</w:t>
      </w:r>
    </w:p>
    <w:p w14:paraId="721A7BEE" w14:textId="77777777" w:rsidR="003E14F9" w:rsidRDefault="003E14F9" w:rsidP="00530BA3"/>
    <w:p w14:paraId="721A7BEF" w14:textId="77777777" w:rsidR="003E14F9" w:rsidRDefault="003E14F9" w:rsidP="00530BA3">
      <w:r>
        <w:t>The squid jig fleet</w:t>
      </w:r>
      <w:r w:rsidR="00F23224">
        <w:t xml:space="preserve"> that </w:t>
      </w:r>
      <w:r w:rsidR="00442C2B">
        <w:t>fished in New Zealand</w:t>
      </w:r>
      <w:r>
        <w:t xml:space="preserve"> </w:t>
      </w:r>
      <w:r w:rsidR="007965D9">
        <w:t xml:space="preserve">was </w:t>
      </w:r>
      <w:r w:rsidR="00BB0A5B">
        <w:t xml:space="preserve">historically </w:t>
      </w:r>
      <w:r>
        <w:t>made up almost entirely of specialised fishing vessels flagged to a number of different Asian countries. Since 1990</w:t>
      </w:r>
      <w:r w:rsidR="00BB0A5B">
        <w:t>,</w:t>
      </w:r>
      <w:r>
        <w:t xml:space="preserve"> over 97% of reported </w:t>
      </w:r>
      <w:r w:rsidR="00A54907">
        <w:t>SQU 1J</w:t>
      </w:r>
      <w:r>
        <w:t xml:space="preserve"> landings were attributed to foreign charter vessels. </w:t>
      </w:r>
      <w:r w:rsidRPr="008741A7">
        <w:t xml:space="preserve">Landings of </w:t>
      </w:r>
      <w:r w:rsidR="00A54907">
        <w:t>SQU 1J</w:t>
      </w:r>
      <w:r w:rsidRPr="008741A7">
        <w:t xml:space="preserve"> have </w:t>
      </w:r>
      <w:r w:rsidR="003163CB">
        <w:t>never reached the TACC</w:t>
      </w:r>
      <w:r w:rsidRPr="008741A7">
        <w:t xml:space="preserve">. </w:t>
      </w:r>
      <w:r w:rsidR="002D2A99">
        <w:t>Since 2006/07, no more than five vessels have operated in the fishery in a given year resulting in annual catches being less than 5% of the TACC.</w:t>
      </w:r>
    </w:p>
    <w:p w14:paraId="721A7BF0" w14:textId="77777777" w:rsidR="008741A7" w:rsidRDefault="008741A7" w:rsidP="006B434C">
      <w:pPr>
        <w:spacing w:line="276" w:lineRule="auto"/>
      </w:pPr>
    </w:p>
    <w:p w14:paraId="721A7BF1" w14:textId="77777777" w:rsidR="00B64732" w:rsidRDefault="00B64732" w:rsidP="006B434C">
      <w:pPr>
        <w:spacing w:line="276" w:lineRule="auto"/>
      </w:pPr>
      <w:r>
        <w:br w:type="page"/>
      </w:r>
    </w:p>
    <w:p w14:paraId="721A7BF2" w14:textId="77777777" w:rsidR="00710807" w:rsidRDefault="00BB0A5B" w:rsidP="00530BA3">
      <w:r>
        <w:lastRenderedPageBreak/>
        <w:t xml:space="preserve">MPI’s initial proposals for catch limits for </w:t>
      </w:r>
      <w:r w:rsidR="00A54907">
        <w:t>SQU 1J</w:t>
      </w:r>
      <w:r>
        <w:t xml:space="preserve"> are set out in </w:t>
      </w:r>
      <w:r w:rsidR="008741A7">
        <w:t xml:space="preserve">Table </w:t>
      </w:r>
      <w:r w:rsidR="00710807" w:rsidRPr="00690ABF">
        <w:t>1:</w:t>
      </w:r>
    </w:p>
    <w:p w14:paraId="721A7BF3" w14:textId="77777777" w:rsidR="008741A7" w:rsidRDefault="008741A7" w:rsidP="00530BA3">
      <w:pPr>
        <w:pStyle w:val="TableMainTitle"/>
      </w:pPr>
    </w:p>
    <w:p w14:paraId="721A7BF4" w14:textId="77777777" w:rsidR="00710807" w:rsidRPr="002466BA" w:rsidRDefault="00710807" w:rsidP="00530BA3">
      <w:pPr>
        <w:pStyle w:val="TableMainTitle"/>
        <w:rPr>
          <w:sz w:val="22"/>
          <w:szCs w:val="22"/>
        </w:rPr>
      </w:pPr>
      <w:r w:rsidRPr="002466BA">
        <w:rPr>
          <w:sz w:val="22"/>
          <w:szCs w:val="22"/>
        </w:rPr>
        <w:t xml:space="preserve">Table </w:t>
      </w:r>
      <w:r w:rsidR="00A56B30" w:rsidRPr="002466BA">
        <w:rPr>
          <w:sz w:val="22"/>
          <w:szCs w:val="22"/>
        </w:rPr>
        <w:t>1</w:t>
      </w:r>
      <w:r w:rsidR="00B653F8">
        <w:rPr>
          <w:sz w:val="22"/>
          <w:szCs w:val="22"/>
        </w:rPr>
        <w:t>: Proposed management s</w:t>
      </w:r>
      <w:r w:rsidRPr="002466BA">
        <w:rPr>
          <w:sz w:val="22"/>
          <w:szCs w:val="22"/>
        </w:rPr>
        <w:t>ettings for</w:t>
      </w:r>
      <w:r w:rsidR="003E14F9" w:rsidRPr="002466BA">
        <w:rPr>
          <w:sz w:val="22"/>
          <w:szCs w:val="22"/>
        </w:rPr>
        <w:t xml:space="preserve"> </w:t>
      </w:r>
      <w:r w:rsidR="00A54907">
        <w:rPr>
          <w:sz w:val="22"/>
          <w:szCs w:val="22"/>
        </w:rPr>
        <w:t>SQU 1J</w:t>
      </w:r>
      <w:r w:rsidR="00B653F8">
        <w:rPr>
          <w:sz w:val="22"/>
          <w:szCs w:val="22"/>
        </w:rPr>
        <w:t xml:space="preserve"> (all values in tonnes)</w:t>
      </w:r>
    </w:p>
    <w:tbl>
      <w:tblPr>
        <w:tblW w:w="0" w:type="auto"/>
        <w:tblLayout w:type="fixed"/>
        <w:tblLook w:val="01E0" w:firstRow="1" w:lastRow="1" w:firstColumn="1" w:lastColumn="1" w:noHBand="0" w:noVBand="0"/>
      </w:tblPr>
      <w:tblGrid>
        <w:gridCol w:w="1985"/>
        <w:gridCol w:w="1134"/>
        <w:gridCol w:w="1559"/>
        <w:gridCol w:w="1134"/>
        <w:gridCol w:w="1263"/>
        <w:gridCol w:w="1581"/>
      </w:tblGrid>
      <w:tr w:rsidR="00710807" w:rsidRPr="00442C2B" w14:paraId="721A7BF9" w14:textId="77777777" w:rsidTr="00DD1944">
        <w:tc>
          <w:tcPr>
            <w:tcW w:w="1985" w:type="dxa"/>
            <w:vMerge w:val="restart"/>
            <w:tcBorders>
              <w:top w:val="single" w:sz="4" w:space="0" w:color="auto"/>
            </w:tcBorders>
            <w:vAlign w:val="bottom"/>
          </w:tcPr>
          <w:p w14:paraId="721A7BF5" w14:textId="77777777" w:rsidR="00710807" w:rsidRPr="00442C2B" w:rsidRDefault="00710807" w:rsidP="00530BA3">
            <w:pPr>
              <w:pStyle w:val="TableColumnHeadings"/>
            </w:pPr>
            <w:r w:rsidRPr="00442C2B">
              <w:t>Option</w:t>
            </w:r>
          </w:p>
        </w:tc>
        <w:tc>
          <w:tcPr>
            <w:tcW w:w="1134" w:type="dxa"/>
            <w:vMerge w:val="restart"/>
            <w:tcBorders>
              <w:top w:val="single" w:sz="4" w:space="0" w:color="auto"/>
            </w:tcBorders>
            <w:vAlign w:val="bottom"/>
          </w:tcPr>
          <w:p w14:paraId="721A7BF6" w14:textId="77777777" w:rsidR="00710807" w:rsidRPr="00442C2B" w:rsidRDefault="00B653F8" w:rsidP="00530BA3">
            <w:pPr>
              <w:pStyle w:val="TableColumnHeadingscentred"/>
            </w:pPr>
            <w:r>
              <w:t>Total Allowable</w:t>
            </w:r>
            <w:r w:rsidR="00DD1944">
              <w:t xml:space="preserve"> </w:t>
            </w:r>
            <w:r>
              <w:t>Catch</w:t>
            </w:r>
          </w:p>
        </w:tc>
        <w:tc>
          <w:tcPr>
            <w:tcW w:w="1559" w:type="dxa"/>
            <w:vMerge w:val="restart"/>
            <w:tcBorders>
              <w:top w:val="single" w:sz="4" w:space="0" w:color="auto"/>
              <w:right w:val="single" w:sz="4" w:space="0" w:color="auto"/>
            </w:tcBorders>
            <w:vAlign w:val="bottom"/>
          </w:tcPr>
          <w:p w14:paraId="721A7BF7" w14:textId="77777777" w:rsidR="00710807" w:rsidRPr="00442C2B" w:rsidRDefault="00710807" w:rsidP="00530BA3">
            <w:pPr>
              <w:pStyle w:val="TableColumnHeadingscentred"/>
            </w:pPr>
            <w:r w:rsidRPr="00442C2B">
              <w:t>Total Allowable Commercial</w:t>
            </w:r>
            <w:r w:rsidR="00B653F8">
              <w:t xml:space="preserve"> Catch</w:t>
            </w:r>
          </w:p>
        </w:tc>
        <w:tc>
          <w:tcPr>
            <w:tcW w:w="3978" w:type="dxa"/>
            <w:gridSpan w:val="3"/>
            <w:tcBorders>
              <w:top w:val="single" w:sz="4" w:space="0" w:color="auto"/>
              <w:left w:val="single" w:sz="4" w:space="0" w:color="auto"/>
              <w:bottom w:val="single" w:sz="4" w:space="0" w:color="auto"/>
            </w:tcBorders>
          </w:tcPr>
          <w:p w14:paraId="721A7BF8" w14:textId="77777777" w:rsidR="00710807" w:rsidRPr="00442C2B" w:rsidRDefault="00710807" w:rsidP="00530BA3">
            <w:pPr>
              <w:pStyle w:val="TableColumnHeadingscentred"/>
            </w:pPr>
            <w:r w:rsidRPr="00442C2B">
              <w:t>Allowances</w:t>
            </w:r>
          </w:p>
        </w:tc>
      </w:tr>
      <w:tr w:rsidR="00710807" w:rsidRPr="00442C2B" w14:paraId="721A7C00" w14:textId="77777777" w:rsidTr="00DD1944">
        <w:tc>
          <w:tcPr>
            <w:tcW w:w="1985" w:type="dxa"/>
            <w:vMerge/>
            <w:tcBorders>
              <w:bottom w:val="single" w:sz="4" w:space="0" w:color="auto"/>
            </w:tcBorders>
          </w:tcPr>
          <w:p w14:paraId="721A7BFA" w14:textId="77777777" w:rsidR="00710807" w:rsidRPr="00442C2B" w:rsidRDefault="00710807" w:rsidP="00530BA3">
            <w:pPr>
              <w:pStyle w:val="TableColumnHeadings"/>
            </w:pPr>
          </w:p>
        </w:tc>
        <w:tc>
          <w:tcPr>
            <w:tcW w:w="1134" w:type="dxa"/>
            <w:vMerge/>
            <w:tcBorders>
              <w:bottom w:val="single" w:sz="4" w:space="0" w:color="auto"/>
            </w:tcBorders>
          </w:tcPr>
          <w:p w14:paraId="721A7BFB" w14:textId="77777777" w:rsidR="00710807" w:rsidRPr="00442C2B" w:rsidRDefault="00710807" w:rsidP="00530BA3">
            <w:pPr>
              <w:pStyle w:val="TableColumnHeadingscentred"/>
            </w:pPr>
          </w:p>
        </w:tc>
        <w:tc>
          <w:tcPr>
            <w:tcW w:w="1559" w:type="dxa"/>
            <w:vMerge/>
            <w:tcBorders>
              <w:bottom w:val="single" w:sz="4" w:space="0" w:color="auto"/>
            </w:tcBorders>
          </w:tcPr>
          <w:p w14:paraId="721A7BFC" w14:textId="77777777" w:rsidR="00710807" w:rsidRPr="00442C2B" w:rsidRDefault="00710807" w:rsidP="00530BA3">
            <w:pPr>
              <w:pStyle w:val="TableColumnHeadingscentred"/>
            </w:pPr>
          </w:p>
        </w:tc>
        <w:tc>
          <w:tcPr>
            <w:tcW w:w="1134" w:type="dxa"/>
            <w:tcBorders>
              <w:top w:val="single" w:sz="4" w:space="0" w:color="auto"/>
              <w:bottom w:val="single" w:sz="4" w:space="0" w:color="auto"/>
            </w:tcBorders>
            <w:vAlign w:val="bottom"/>
          </w:tcPr>
          <w:p w14:paraId="721A7BFD" w14:textId="77777777" w:rsidR="00710807" w:rsidRPr="00442C2B" w:rsidRDefault="00B653F8" w:rsidP="00D36217">
            <w:pPr>
              <w:pStyle w:val="TableColumnHeadingscentred"/>
              <w:jc w:val="right"/>
            </w:pPr>
            <w:r>
              <w:t>Customary Māori</w:t>
            </w:r>
          </w:p>
        </w:tc>
        <w:tc>
          <w:tcPr>
            <w:tcW w:w="1263" w:type="dxa"/>
            <w:tcBorders>
              <w:top w:val="single" w:sz="4" w:space="0" w:color="auto"/>
              <w:bottom w:val="single" w:sz="4" w:space="0" w:color="auto"/>
            </w:tcBorders>
            <w:vAlign w:val="bottom"/>
          </w:tcPr>
          <w:p w14:paraId="721A7BFE" w14:textId="77777777" w:rsidR="00710807" w:rsidRPr="00442C2B" w:rsidRDefault="00710807" w:rsidP="00D36217">
            <w:pPr>
              <w:pStyle w:val="TableColumnHeadingscentred"/>
              <w:jc w:val="right"/>
            </w:pPr>
            <w:r w:rsidRPr="00442C2B">
              <w:t>Recreational</w:t>
            </w:r>
          </w:p>
        </w:tc>
        <w:tc>
          <w:tcPr>
            <w:tcW w:w="1581" w:type="dxa"/>
            <w:tcBorders>
              <w:top w:val="single" w:sz="4" w:space="0" w:color="auto"/>
              <w:bottom w:val="single" w:sz="4" w:space="0" w:color="auto"/>
            </w:tcBorders>
            <w:vAlign w:val="bottom"/>
          </w:tcPr>
          <w:p w14:paraId="721A7BFF" w14:textId="77777777" w:rsidR="00710807" w:rsidRPr="00442C2B" w:rsidRDefault="00710807" w:rsidP="00D36217">
            <w:pPr>
              <w:pStyle w:val="TableColumnHeadingscentred"/>
              <w:jc w:val="right"/>
            </w:pPr>
            <w:r w:rsidRPr="00442C2B">
              <w:t>Other sources of fishing-related mortality</w:t>
            </w:r>
          </w:p>
        </w:tc>
      </w:tr>
      <w:tr w:rsidR="00710807" w:rsidRPr="00442C2B" w14:paraId="721A7C07" w14:textId="77777777" w:rsidTr="00DD1944">
        <w:trPr>
          <w:trHeight w:val="57"/>
        </w:trPr>
        <w:tc>
          <w:tcPr>
            <w:tcW w:w="1985" w:type="dxa"/>
            <w:tcBorders>
              <w:top w:val="single" w:sz="4" w:space="0" w:color="auto"/>
            </w:tcBorders>
          </w:tcPr>
          <w:p w14:paraId="721A7C01" w14:textId="77777777" w:rsidR="00710807" w:rsidRPr="00442C2B" w:rsidRDefault="00710807" w:rsidP="00530BA3">
            <w:pPr>
              <w:pStyle w:val="TableColumnHeadings"/>
            </w:pPr>
            <w:r w:rsidRPr="00442C2B">
              <w:t>Option 1</w:t>
            </w:r>
            <w:r w:rsidR="00DD1944">
              <w:t xml:space="preserve">  </w:t>
            </w:r>
            <w:r w:rsidR="00DD1944" w:rsidRPr="00DC5DD8">
              <w:rPr>
                <w:b w:val="0"/>
                <w:i/>
              </w:rPr>
              <w:t>(Status quo)</w:t>
            </w:r>
          </w:p>
        </w:tc>
        <w:tc>
          <w:tcPr>
            <w:tcW w:w="1134" w:type="dxa"/>
            <w:tcBorders>
              <w:top w:val="single" w:sz="4" w:space="0" w:color="auto"/>
            </w:tcBorders>
          </w:tcPr>
          <w:p w14:paraId="721A7C02" w14:textId="77777777" w:rsidR="00710807" w:rsidRPr="00530BA3" w:rsidRDefault="005C56C1" w:rsidP="00530BA3">
            <w:pPr>
              <w:pStyle w:val="TableColumnHeadings"/>
              <w:jc w:val="center"/>
              <w:rPr>
                <w:b w:val="0"/>
              </w:rPr>
            </w:pPr>
            <w:r w:rsidRPr="00530BA3">
              <w:rPr>
                <w:b w:val="0"/>
              </w:rPr>
              <w:t>50,2</w:t>
            </w:r>
            <w:r w:rsidR="00827887">
              <w:rPr>
                <w:b w:val="0"/>
              </w:rPr>
              <w:t>42</w:t>
            </w:r>
          </w:p>
        </w:tc>
        <w:tc>
          <w:tcPr>
            <w:tcW w:w="1559" w:type="dxa"/>
            <w:tcBorders>
              <w:top w:val="single" w:sz="4" w:space="0" w:color="auto"/>
            </w:tcBorders>
          </w:tcPr>
          <w:p w14:paraId="721A7C03" w14:textId="77777777" w:rsidR="00710807" w:rsidRPr="00530BA3" w:rsidRDefault="00827887" w:rsidP="00530BA3">
            <w:pPr>
              <w:pStyle w:val="TableColumnHeadings"/>
              <w:jc w:val="center"/>
              <w:rPr>
                <w:b w:val="0"/>
              </w:rPr>
            </w:pPr>
            <w:r>
              <w:rPr>
                <w:b w:val="0"/>
              </w:rPr>
              <w:t>50,212</w:t>
            </w:r>
          </w:p>
        </w:tc>
        <w:tc>
          <w:tcPr>
            <w:tcW w:w="1134" w:type="dxa"/>
            <w:tcBorders>
              <w:top w:val="single" w:sz="4" w:space="0" w:color="auto"/>
            </w:tcBorders>
          </w:tcPr>
          <w:p w14:paraId="721A7C04" w14:textId="77777777" w:rsidR="00710807" w:rsidRPr="00530BA3" w:rsidRDefault="00017BAA" w:rsidP="00D36217">
            <w:pPr>
              <w:pStyle w:val="TableColumnHeadings"/>
              <w:jc w:val="right"/>
              <w:rPr>
                <w:b w:val="0"/>
              </w:rPr>
            </w:pPr>
            <w:r>
              <w:rPr>
                <w:b w:val="0"/>
              </w:rPr>
              <w:t>10</w:t>
            </w:r>
          </w:p>
        </w:tc>
        <w:tc>
          <w:tcPr>
            <w:tcW w:w="1263" w:type="dxa"/>
            <w:tcBorders>
              <w:top w:val="single" w:sz="4" w:space="0" w:color="auto"/>
            </w:tcBorders>
          </w:tcPr>
          <w:p w14:paraId="721A7C05" w14:textId="77777777" w:rsidR="00710807" w:rsidRPr="00530BA3" w:rsidRDefault="00017BAA" w:rsidP="00D36217">
            <w:pPr>
              <w:pStyle w:val="TableColumnHeadings"/>
              <w:jc w:val="right"/>
              <w:rPr>
                <w:b w:val="0"/>
              </w:rPr>
            </w:pPr>
            <w:r>
              <w:rPr>
                <w:b w:val="0"/>
              </w:rPr>
              <w:t>10</w:t>
            </w:r>
          </w:p>
        </w:tc>
        <w:tc>
          <w:tcPr>
            <w:tcW w:w="1581" w:type="dxa"/>
            <w:tcBorders>
              <w:top w:val="single" w:sz="4" w:space="0" w:color="auto"/>
            </w:tcBorders>
          </w:tcPr>
          <w:p w14:paraId="721A7C06" w14:textId="77777777" w:rsidR="00710807" w:rsidRPr="00530BA3" w:rsidRDefault="008F5D4C" w:rsidP="00D36217">
            <w:pPr>
              <w:pStyle w:val="TableColumnHeadings"/>
              <w:jc w:val="right"/>
              <w:rPr>
                <w:b w:val="0"/>
              </w:rPr>
            </w:pPr>
            <w:r w:rsidRPr="00530BA3">
              <w:rPr>
                <w:b w:val="0"/>
              </w:rPr>
              <w:t>1</w:t>
            </w:r>
            <w:r w:rsidR="00AA7AF4" w:rsidRPr="00530BA3">
              <w:rPr>
                <w:b w:val="0"/>
              </w:rPr>
              <w:t>0</w:t>
            </w:r>
          </w:p>
        </w:tc>
      </w:tr>
      <w:tr w:rsidR="00003889" w:rsidRPr="00442C2B" w14:paraId="721A7C0E" w14:textId="77777777" w:rsidTr="00DD1944">
        <w:trPr>
          <w:trHeight w:val="57"/>
        </w:trPr>
        <w:tc>
          <w:tcPr>
            <w:tcW w:w="1985" w:type="dxa"/>
          </w:tcPr>
          <w:p w14:paraId="721A7C08" w14:textId="77777777" w:rsidR="00BB0A5B" w:rsidRPr="00442C2B" w:rsidRDefault="00003889" w:rsidP="00530BA3">
            <w:pPr>
              <w:pStyle w:val="TableColumnHeadings"/>
            </w:pPr>
            <w:r w:rsidRPr="00442C2B">
              <w:t>Option 2</w:t>
            </w:r>
          </w:p>
        </w:tc>
        <w:tc>
          <w:tcPr>
            <w:tcW w:w="1134" w:type="dxa"/>
          </w:tcPr>
          <w:p w14:paraId="721A7C09" w14:textId="77777777" w:rsidR="00003889" w:rsidRPr="00530BA3" w:rsidRDefault="005C56C1" w:rsidP="00530BA3">
            <w:pPr>
              <w:pStyle w:val="TableColumnHeadings"/>
              <w:jc w:val="center"/>
              <w:rPr>
                <w:b w:val="0"/>
              </w:rPr>
            </w:pPr>
            <w:r w:rsidRPr="00530BA3">
              <w:rPr>
                <w:b w:val="0"/>
              </w:rPr>
              <w:t>10,0</w:t>
            </w:r>
            <w:r w:rsidR="00017BAA">
              <w:rPr>
                <w:b w:val="0"/>
              </w:rPr>
              <w:t>3</w:t>
            </w:r>
            <w:r w:rsidRPr="00530BA3">
              <w:rPr>
                <w:b w:val="0"/>
              </w:rPr>
              <w:t>0</w:t>
            </w:r>
          </w:p>
        </w:tc>
        <w:tc>
          <w:tcPr>
            <w:tcW w:w="1559" w:type="dxa"/>
          </w:tcPr>
          <w:p w14:paraId="721A7C0A" w14:textId="77777777" w:rsidR="00003889" w:rsidRPr="00530BA3" w:rsidRDefault="005C56C1" w:rsidP="00530BA3">
            <w:pPr>
              <w:pStyle w:val="TableColumnHeadings"/>
              <w:jc w:val="center"/>
              <w:rPr>
                <w:b w:val="0"/>
              </w:rPr>
            </w:pPr>
            <w:r w:rsidRPr="00530BA3">
              <w:rPr>
                <w:b w:val="0"/>
              </w:rPr>
              <w:t>10,000</w:t>
            </w:r>
          </w:p>
        </w:tc>
        <w:tc>
          <w:tcPr>
            <w:tcW w:w="1134" w:type="dxa"/>
          </w:tcPr>
          <w:p w14:paraId="721A7C0B" w14:textId="77777777" w:rsidR="00003889" w:rsidRPr="00530BA3" w:rsidRDefault="00017BAA" w:rsidP="00D36217">
            <w:pPr>
              <w:pStyle w:val="TableColumnHeadings"/>
              <w:jc w:val="right"/>
              <w:rPr>
                <w:b w:val="0"/>
              </w:rPr>
            </w:pPr>
            <w:r>
              <w:rPr>
                <w:b w:val="0"/>
              </w:rPr>
              <w:t>10</w:t>
            </w:r>
          </w:p>
        </w:tc>
        <w:tc>
          <w:tcPr>
            <w:tcW w:w="1263" w:type="dxa"/>
          </w:tcPr>
          <w:p w14:paraId="721A7C0C" w14:textId="77777777" w:rsidR="00003889" w:rsidRPr="00530BA3" w:rsidRDefault="00017BAA" w:rsidP="00D36217">
            <w:pPr>
              <w:pStyle w:val="TableColumnHeadings"/>
              <w:jc w:val="right"/>
              <w:rPr>
                <w:b w:val="0"/>
              </w:rPr>
            </w:pPr>
            <w:r>
              <w:rPr>
                <w:b w:val="0"/>
              </w:rPr>
              <w:t>10</w:t>
            </w:r>
          </w:p>
        </w:tc>
        <w:tc>
          <w:tcPr>
            <w:tcW w:w="1581" w:type="dxa"/>
          </w:tcPr>
          <w:p w14:paraId="721A7C0D" w14:textId="77777777" w:rsidR="00003889" w:rsidRPr="00530BA3" w:rsidRDefault="008F5D4C" w:rsidP="00D36217">
            <w:pPr>
              <w:pStyle w:val="TableColumnHeadings"/>
              <w:jc w:val="right"/>
              <w:rPr>
                <w:b w:val="0"/>
              </w:rPr>
            </w:pPr>
            <w:r w:rsidRPr="00530BA3">
              <w:rPr>
                <w:b w:val="0"/>
              </w:rPr>
              <w:t>1</w:t>
            </w:r>
            <w:r w:rsidR="00003889" w:rsidRPr="00530BA3">
              <w:rPr>
                <w:b w:val="0"/>
              </w:rPr>
              <w:t>0</w:t>
            </w:r>
          </w:p>
        </w:tc>
      </w:tr>
      <w:tr w:rsidR="00AA7AF4" w:rsidRPr="00442C2B" w14:paraId="721A7C15" w14:textId="77777777" w:rsidTr="00DD1944">
        <w:trPr>
          <w:trHeight w:val="57"/>
        </w:trPr>
        <w:tc>
          <w:tcPr>
            <w:tcW w:w="1985" w:type="dxa"/>
            <w:tcBorders>
              <w:bottom w:val="single" w:sz="4" w:space="0" w:color="auto"/>
            </w:tcBorders>
          </w:tcPr>
          <w:p w14:paraId="721A7C0F" w14:textId="77777777" w:rsidR="00AA7AF4" w:rsidRPr="00442C2B" w:rsidRDefault="00AA7AF4" w:rsidP="00530BA3">
            <w:pPr>
              <w:pStyle w:val="TableColumnHeadings"/>
            </w:pPr>
            <w:r w:rsidRPr="00442C2B">
              <w:t>Option 3</w:t>
            </w:r>
          </w:p>
        </w:tc>
        <w:tc>
          <w:tcPr>
            <w:tcW w:w="1134" w:type="dxa"/>
            <w:tcBorders>
              <w:bottom w:val="single" w:sz="4" w:space="0" w:color="auto"/>
            </w:tcBorders>
          </w:tcPr>
          <w:p w14:paraId="721A7C10" w14:textId="77777777" w:rsidR="00AA7AF4" w:rsidRPr="00530BA3" w:rsidRDefault="005C56C1" w:rsidP="00530BA3">
            <w:pPr>
              <w:pStyle w:val="TableColumnHeadings"/>
              <w:jc w:val="center"/>
              <w:rPr>
                <w:b w:val="0"/>
              </w:rPr>
            </w:pPr>
            <w:r w:rsidRPr="00530BA3">
              <w:rPr>
                <w:b w:val="0"/>
              </w:rPr>
              <w:t>5,0</w:t>
            </w:r>
            <w:r w:rsidR="00017BAA">
              <w:rPr>
                <w:b w:val="0"/>
              </w:rPr>
              <w:t>3</w:t>
            </w:r>
            <w:r w:rsidRPr="00530BA3">
              <w:rPr>
                <w:b w:val="0"/>
              </w:rPr>
              <w:t>0</w:t>
            </w:r>
          </w:p>
        </w:tc>
        <w:tc>
          <w:tcPr>
            <w:tcW w:w="1559" w:type="dxa"/>
            <w:tcBorders>
              <w:bottom w:val="single" w:sz="4" w:space="0" w:color="auto"/>
            </w:tcBorders>
          </w:tcPr>
          <w:p w14:paraId="721A7C11" w14:textId="77777777" w:rsidR="00AA7AF4" w:rsidRPr="00530BA3" w:rsidRDefault="005C56C1" w:rsidP="00530BA3">
            <w:pPr>
              <w:pStyle w:val="TableColumnHeadings"/>
              <w:jc w:val="center"/>
              <w:rPr>
                <w:b w:val="0"/>
              </w:rPr>
            </w:pPr>
            <w:r w:rsidRPr="00530BA3">
              <w:rPr>
                <w:b w:val="0"/>
              </w:rPr>
              <w:t>5,000</w:t>
            </w:r>
          </w:p>
        </w:tc>
        <w:tc>
          <w:tcPr>
            <w:tcW w:w="1134" w:type="dxa"/>
            <w:tcBorders>
              <w:bottom w:val="single" w:sz="4" w:space="0" w:color="auto"/>
            </w:tcBorders>
          </w:tcPr>
          <w:p w14:paraId="721A7C12" w14:textId="77777777" w:rsidR="00AA7AF4" w:rsidRPr="00530BA3" w:rsidRDefault="00017BAA" w:rsidP="00D36217">
            <w:pPr>
              <w:pStyle w:val="TableColumnHeadings"/>
              <w:jc w:val="right"/>
              <w:rPr>
                <w:b w:val="0"/>
              </w:rPr>
            </w:pPr>
            <w:r>
              <w:rPr>
                <w:b w:val="0"/>
              </w:rPr>
              <w:t>10</w:t>
            </w:r>
          </w:p>
        </w:tc>
        <w:tc>
          <w:tcPr>
            <w:tcW w:w="1263" w:type="dxa"/>
            <w:tcBorders>
              <w:bottom w:val="single" w:sz="4" w:space="0" w:color="auto"/>
            </w:tcBorders>
          </w:tcPr>
          <w:p w14:paraId="721A7C13" w14:textId="77777777" w:rsidR="00AA7AF4" w:rsidRPr="00530BA3" w:rsidRDefault="00017BAA" w:rsidP="00D36217">
            <w:pPr>
              <w:pStyle w:val="TableColumnHeadings"/>
              <w:jc w:val="right"/>
              <w:rPr>
                <w:b w:val="0"/>
              </w:rPr>
            </w:pPr>
            <w:r>
              <w:rPr>
                <w:b w:val="0"/>
              </w:rPr>
              <w:t>10</w:t>
            </w:r>
          </w:p>
        </w:tc>
        <w:tc>
          <w:tcPr>
            <w:tcW w:w="1581" w:type="dxa"/>
            <w:tcBorders>
              <w:bottom w:val="single" w:sz="4" w:space="0" w:color="auto"/>
            </w:tcBorders>
          </w:tcPr>
          <w:p w14:paraId="721A7C14" w14:textId="77777777" w:rsidR="00AA7AF4" w:rsidRPr="00530BA3" w:rsidRDefault="008F5D4C" w:rsidP="00D36217">
            <w:pPr>
              <w:pStyle w:val="TableColumnHeadings"/>
              <w:jc w:val="right"/>
              <w:rPr>
                <w:b w:val="0"/>
              </w:rPr>
            </w:pPr>
            <w:r w:rsidRPr="00530BA3">
              <w:rPr>
                <w:b w:val="0"/>
              </w:rPr>
              <w:t>1</w:t>
            </w:r>
            <w:r w:rsidR="00AA7AF4" w:rsidRPr="00530BA3">
              <w:rPr>
                <w:b w:val="0"/>
              </w:rPr>
              <w:t>0</w:t>
            </w:r>
          </w:p>
        </w:tc>
      </w:tr>
    </w:tbl>
    <w:p w14:paraId="721A7C16" w14:textId="77777777" w:rsidR="00B654F1" w:rsidRDefault="00B654F1" w:rsidP="00530BA3">
      <w:bookmarkStart w:id="19" w:name="_Toc421169850"/>
      <w:bookmarkStart w:id="20" w:name="_Toc436817013"/>
      <w:bookmarkStart w:id="21" w:name="_Toc436817162"/>
    </w:p>
    <w:p w14:paraId="721A7C17" w14:textId="77777777" w:rsidR="00710807" w:rsidRPr="006B434C" w:rsidRDefault="00710807" w:rsidP="00530BA3">
      <w:pPr>
        <w:pStyle w:val="Heading1"/>
      </w:pPr>
      <w:bookmarkStart w:id="22" w:name="_Toc450057511"/>
      <w:bookmarkStart w:id="23" w:name="_Toc450059115"/>
      <w:bookmarkStart w:id="24" w:name="_Toc450059145"/>
      <w:bookmarkStart w:id="25" w:name="_Toc453060463"/>
      <w:bookmarkEnd w:id="22"/>
      <w:bookmarkEnd w:id="23"/>
      <w:bookmarkEnd w:id="24"/>
      <w:r w:rsidRPr="00530BA3">
        <w:t>Purpose</w:t>
      </w:r>
      <w:bookmarkEnd w:id="19"/>
      <w:bookmarkEnd w:id="20"/>
      <w:bookmarkEnd w:id="21"/>
      <w:bookmarkEnd w:id="25"/>
    </w:p>
    <w:p w14:paraId="721A7C18" w14:textId="77777777" w:rsidR="00710807" w:rsidRPr="006B434C" w:rsidRDefault="00710807" w:rsidP="00530BA3">
      <w:pPr>
        <w:pStyle w:val="Heading2"/>
      </w:pPr>
      <w:bookmarkStart w:id="26" w:name="_Toc453060464"/>
      <w:r w:rsidRPr="006B434C">
        <w:t xml:space="preserve">Need for </w:t>
      </w:r>
      <w:r w:rsidR="0000312A">
        <w:t>a</w:t>
      </w:r>
      <w:r w:rsidRPr="00530BA3">
        <w:t>ction</w:t>
      </w:r>
      <w:bookmarkEnd w:id="26"/>
      <w:r w:rsidRPr="006B434C">
        <w:t xml:space="preserve"> </w:t>
      </w:r>
    </w:p>
    <w:p w14:paraId="721A7C19" w14:textId="77777777" w:rsidR="000012AE" w:rsidRDefault="00B654F1" w:rsidP="00530BA3">
      <w:r>
        <w:t>The cu</w:t>
      </w:r>
      <w:r w:rsidR="008A3ACB">
        <w:t xml:space="preserve">rrent TACC for the </w:t>
      </w:r>
      <w:r w:rsidR="00A54907">
        <w:t>SQU 1J</w:t>
      </w:r>
      <w:r w:rsidR="008A3ACB">
        <w:t xml:space="preserve"> stock wa</w:t>
      </w:r>
      <w:r>
        <w:t xml:space="preserve">s based on historical catches achieved during the early 1980s when over 200 </w:t>
      </w:r>
      <w:r w:rsidR="009B7FD3">
        <w:t xml:space="preserve">squid jigging </w:t>
      </w:r>
      <w:r>
        <w:t xml:space="preserve">vessels were active in the fishery. Amendments to the Fisheries Act 1996 (the Act) </w:t>
      </w:r>
      <w:r w:rsidR="0006700F">
        <w:t>came</w:t>
      </w:r>
      <w:r>
        <w:t xml:space="preserve"> into force on 1 May 2016 </w:t>
      </w:r>
      <w:r w:rsidR="0006700F">
        <w:t xml:space="preserve">which require </w:t>
      </w:r>
      <w:r>
        <w:t xml:space="preserve">all fishing vessels to be </w:t>
      </w:r>
      <w:r w:rsidR="0006700F">
        <w:t xml:space="preserve">flagged to </w:t>
      </w:r>
      <w:r>
        <w:t>New Zealand. MPI understands it will be difficult for vessels such as squid jiggers that wish to operate on a seasonal basis to re-flag to New Zealand. The re-flagging requirement means that the level o</w:t>
      </w:r>
      <w:r w:rsidR="008A3ACB">
        <w:t xml:space="preserve">f effort that the TACC was based on is unlikely to be repeated. </w:t>
      </w:r>
      <w:r w:rsidR="00E02576">
        <w:t>There is no sustainability concern but m</w:t>
      </w:r>
      <w:r>
        <w:t>aintaining the TACC at historical levels is not considered appropriate in this context.</w:t>
      </w:r>
    </w:p>
    <w:p w14:paraId="721A7C1A" w14:textId="77777777" w:rsidR="00EA560A" w:rsidRDefault="00EA560A" w:rsidP="00EA560A">
      <w:pPr>
        <w:rPr>
          <w:sz w:val="28"/>
          <w:szCs w:val="28"/>
        </w:rPr>
      </w:pPr>
    </w:p>
    <w:p w14:paraId="721A7C1B" w14:textId="77777777" w:rsidR="00710807" w:rsidRPr="006B434C" w:rsidRDefault="00710807" w:rsidP="00530BA3">
      <w:pPr>
        <w:pStyle w:val="Heading2"/>
      </w:pPr>
      <w:bookmarkStart w:id="27" w:name="_Toc421169852"/>
      <w:bookmarkStart w:id="28" w:name="_Toc436817164"/>
      <w:bookmarkStart w:id="29" w:name="_Toc453060465"/>
      <w:r w:rsidRPr="006B434C">
        <w:t xml:space="preserve">Management </w:t>
      </w:r>
      <w:r w:rsidR="0000312A">
        <w:t>a</w:t>
      </w:r>
      <w:r w:rsidRPr="00530BA3">
        <w:t>pproach</w:t>
      </w:r>
      <w:bookmarkEnd w:id="27"/>
      <w:bookmarkEnd w:id="28"/>
      <w:bookmarkEnd w:id="29"/>
    </w:p>
    <w:p w14:paraId="721A7C1C" w14:textId="77777777" w:rsidR="00F65275" w:rsidRPr="00A92C0A" w:rsidRDefault="00C36C30" w:rsidP="00530BA3">
      <w:r w:rsidRPr="00F65275">
        <w:rPr>
          <w:szCs w:val="24"/>
        </w:rPr>
        <w:t>Arrow squid is</w:t>
      </w:r>
      <w:r w:rsidR="0006700F" w:rsidRPr="00F65275">
        <w:rPr>
          <w:szCs w:val="24"/>
        </w:rPr>
        <w:t xml:space="preserve"> </w:t>
      </w:r>
      <w:r w:rsidRPr="00F65275">
        <w:rPr>
          <w:szCs w:val="24"/>
        </w:rPr>
        <w:t xml:space="preserve">a Tier 1 fish stock </w:t>
      </w:r>
      <w:r w:rsidR="0006700F" w:rsidRPr="00F65275">
        <w:rPr>
          <w:szCs w:val="24"/>
        </w:rPr>
        <w:t xml:space="preserve">managed </w:t>
      </w:r>
      <w:r w:rsidR="00580C25">
        <w:rPr>
          <w:szCs w:val="24"/>
        </w:rPr>
        <w:t>under</w:t>
      </w:r>
      <w:r w:rsidR="0006700F" w:rsidRPr="00F65275">
        <w:rPr>
          <w:szCs w:val="24"/>
        </w:rPr>
        <w:t xml:space="preserve"> the National</w:t>
      </w:r>
      <w:r w:rsidR="002D2A99">
        <w:rPr>
          <w:szCs w:val="24"/>
        </w:rPr>
        <w:t xml:space="preserve"> Fisheries Plan for Deepwater and Middle-depth Fisheries</w:t>
      </w:r>
      <w:r w:rsidR="00A92C0A">
        <w:rPr>
          <w:szCs w:val="24"/>
        </w:rPr>
        <w:t xml:space="preserve"> </w:t>
      </w:r>
      <w:r w:rsidR="00A92C0A">
        <w:t>(National Deepwater Plan), which was approved by the Minister of Fisheries under section 11A of the Fisheries Act 1996. Within the National Dee</w:t>
      </w:r>
      <w:r w:rsidR="00EB3173">
        <w:t>pwater Plan it is classed as a Tier 2</w:t>
      </w:r>
      <w:r w:rsidR="00A92C0A">
        <w:t xml:space="preserve"> stock. Tier 1 fisheries are high volume and/or high value fisheries and are traditionally targeted.</w:t>
      </w:r>
      <w:r w:rsidR="00F84F8A">
        <w:t xml:space="preserve"> </w:t>
      </w:r>
      <w:r w:rsidR="00A92C0A">
        <w:t>Tier 2 fisheries are typically less valuable bycatch fisheries or are only target fisheries at certain times of the ye</w:t>
      </w:r>
      <w:r w:rsidR="00F84F8A">
        <w:t xml:space="preserve">ar. </w:t>
      </w:r>
      <w:r w:rsidR="00F84F8A">
        <w:rPr>
          <w:szCs w:val="24"/>
          <w:lang w:val="en-GB"/>
        </w:rPr>
        <w:t>SQU 1J is treated as a Tier 2 fish stock</w:t>
      </w:r>
      <w:r w:rsidR="00F84F8A">
        <w:t xml:space="preserve"> because of</w:t>
      </w:r>
      <w:r w:rsidR="00F84F8A">
        <w:rPr>
          <w:szCs w:val="24"/>
          <w:lang w:val="en-GB"/>
        </w:rPr>
        <w:t xml:space="preserve"> the low volume of catches</w:t>
      </w:r>
      <w:r w:rsidR="00BD50FA">
        <w:rPr>
          <w:szCs w:val="24"/>
          <w:lang w:val="en-GB"/>
        </w:rPr>
        <w:t>.</w:t>
      </w:r>
    </w:p>
    <w:p w14:paraId="721A7C1D" w14:textId="77777777" w:rsidR="00580C25" w:rsidRDefault="00580C25" w:rsidP="00530BA3">
      <w:pPr>
        <w:rPr>
          <w:szCs w:val="24"/>
          <w:lang w:val="en-GB"/>
        </w:rPr>
      </w:pPr>
    </w:p>
    <w:p w14:paraId="721A7C1E" w14:textId="77777777" w:rsidR="006B08D8" w:rsidRDefault="00F65275" w:rsidP="006B08D8">
      <w:pPr>
        <w:rPr>
          <w:sz w:val="28"/>
          <w:szCs w:val="28"/>
        </w:rPr>
      </w:pPr>
      <w:r w:rsidRPr="00F65275">
        <w:rPr>
          <w:szCs w:val="24"/>
          <w:lang w:val="en-GB"/>
        </w:rPr>
        <w:t xml:space="preserve">Squid are listed </w:t>
      </w:r>
      <w:r w:rsidR="00387902">
        <w:rPr>
          <w:szCs w:val="24"/>
          <w:lang w:val="en-GB"/>
        </w:rPr>
        <w:t xml:space="preserve">on </w:t>
      </w:r>
      <w:r w:rsidRPr="00F65275">
        <w:rPr>
          <w:szCs w:val="24"/>
          <w:lang w:val="en-GB"/>
        </w:rPr>
        <w:t>Schedule</w:t>
      </w:r>
      <w:r w:rsidR="00A92C0A">
        <w:rPr>
          <w:szCs w:val="24"/>
          <w:lang w:val="en-GB"/>
        </w:rPr>
        <w:t xml:space="preserve"> </w:t>
      </w:r>
      <w:r w:rsidRPr="00F65275">
        <w:rPr>
          <w:szCs w:val="24"/>
          <w:lang w:val="en-GB"/>
        </w:rPr>
        <w:t xml:space="preserve">3 of the </w:t>
      </w:r>
      <w:r w:rsidR="005E6E93" w:rsidRPr="00F65275">
        <w:rPr>
          <w:szCs w:val="24"/>
          <w:lang w:val="en-GB"/>
        </w:rPr>
        <w:t>Fisheries Act 1996</w:t>
      </w:r>
      <w:r w:rsidR="00C36C30" w:rsidRPr="00F65275">
        <w:rPr>
          <w:szCs w:val="24"/>
          <w:lang w:val="en-GB"/>
        </w:rPr>
        <w:t xml:space="preserve"> </w:t>
      </w:r>
      <w:r w:rsidR="00DA0F3F">
        <w:rPr>
          <w:szCs w:val="24"/>
          <w:lang w:val="en-GB"/>
        </w:rPr>
        <w:t>(the Act)</w:t>
      </w:r>
      <w:r w:rsidR="00387902">
        <w:rPr>
          <w:szCs w:val="24"/>
          <w:lang w:val="en-GB"/>
        </w:rPr>
        <w:t xml:space="preserve">. Therefore the Minister may set a TAC under s 14 of the Act if satisfied that the purpose of the Act would be better achieved otherwise than by setting a TAC under s 13 </w:t>
      </w:r>
      <w:r w:rsidR="004130E8">
        <w:rPr>
          <w:szCs w:val="24"/>
          <w:lang w:val="en-GB"/>
        </w:rPr>
        <w:t xml:space="preserve">(which requires the </w:t>
      </w:r>
      <w:r w:rsidR="00387902">
        <w:rPr>
          <w:szCs w:val="24"/>
          <w:lang w:val="en-GB"/>
        </w:rPr>
        <w:t xml:space="preserve">setting </w:t>
      </w:r>
      <w:r w:rsidR="004130E8">
        <w:rPr>
          <w:szCs w:val="24"/>
          <w:lang w:val="en-GB"/>
        </w:rPr>
        <w:t xml:space="preserve">of </w:t>
      </w:r>
      <w:r w:rsidR="00387902">
        <w:rPr>
          <w:szCs w:val="24"/>
          <w:lang w:val="en-GB"/>
        </w:rPr>
        <w:t xml:space="preserve">a TAC based on </w:t>
      </w:r>
      <w:r w:rsidR="0050410A">
        <w:rPr>
          <w:szCs w:val="24"/>
          <w:lang w:val="en-GB"/>
        </w:rPr>
        <w:t>B</w:t>
      </w:r>
      <w:r w:rsidR="0050410A" w:rsidRPr="00442999">
        <w:rPr>
          <w:szCs w:val="24"/>
          <w:vertAlign w:val="subscript"/>
          <w:lang w:val="en-GB"/>
        </w:rPr>
        <w:t>MSY</w:t>
      </w:r>
      <w:r w:rsidR="004130E8">
        <w:rPr>
          <w:szCs w:val="24"/>
          <w:lang w:val="en-GB"/>
        </w:rPr>
        <w:t>).</w:t>
      </w:r>
      <w:r w:rsidR="00387902">
        <w:t xml:space="preserve"> </w:t>
      </w:r>
      <w:r w:rsidR="00276EF2">
        <w:t xml:space="preserve"> Squid are in this category because of the biological characteristics of this species (discussed below).</w:t>
      </w:r>
    </w:p>
    <w:p w14:paraId="721A7C1F" w14:textId="77777777" w:rsidR="006B08D8" w:rsidRDefault="006B08D8" w:rsidP="006B08D8">
      <w:pPr>
        <w:rPr>
          <w:sz w:val="28"/>
          <w:szCs w:val="28"/>
        </w:rPr>
      </w:pPr>
    </w:p>
    <w:p w14:paraId="721A7C20" w14:textId="77777777" w:rsidR="00387902" w:rsidRDefault="00387902" w:rsidP="00530BA3"/>
    <w:p w14:paraId="721A7C21" w14:textId="77777777" w:rsidR="001B1907" w:rsidRDefault="001B1907" w:rsidP="00530BA3"/>
    <w:p w14:paraId="721A7C22" w14:textId="77777777" w:rsidR="00530BA3" w:rsidRDefault="00530BA3">
      <w:pPr>
        <w:rPr>
          <w:rFonts w:ascii="Arial Narrow" w:hAnsi="Arial Narrow"/>
          <w:b/>
          <w:kern w:val="28"/>
          <w:sz w:val="36"/>
        </w:rPr>
      </w:pPr>
      <w:bookmarkStart w:id="30" w:name="_Toc421169853"/>
      <w:bookmarkStart w:id="31" w:name="_Toc436817014"/>
      <w:bookmarkStart w:id="32" w:name="_Toc436817165"/>
      <w:r>
        <w:br w:type="page"/>
      </w:r>
    </w:p>
    <w:p w14:paraId="721A7C23" w14:textId="77777777" w:rsidR="009508B8" w:rsidRPr="006B434C" w:rsidRDefault="0058341F" w:rsidP="00530BA3">
      <w:pPr>
        <w:pStyle w:val="Heading1"/>
      </w:pPr>
      <w:bookmarkStart w:id="33" w:name="_Toc453060466"/>
      <w:r w:rsidRPr="00530BA3">
        <w:lastRenderedPageBreak/>
        <w:t>B</w:t>
      </w:r>
      <w:r w:rsidR="00710807" w:rsidRPr="00530BA3">
        <w:t>ackground</w:t>
      </w:r>
      <w:r w:rsidR="00710807" w:rsidRPr="006B434C">
        <w:t xml:space="preserve"> Information</w:t>
      </w:r>
      <w:bookmarkEnd w:id="30"/>
      <w:bookmarkEnd w:id="31"/>
      <w:bookmarkEnd w:id="32"/>
      <w:bookmarkEnd w:id="33"/>
    </w:p>
    <w:p w14:paraId="721A7C24" w14:textId="77777777" w:rsidR="00710807" w:rsidRPr="006B434C" w:rsidRDefault="00710807" w:rsidP="00530BA3">
      <w:pPr>
        <w:pStyle w:val="Heading2"/>
      </w:pPr>
      <w:bookmarkStart w:id="34" w:name="_Toc421169854"/>
      <w:bookmarkStart w:id="35" w:name="_Toc436817166"/>
      <w:bookmarkStart w:id="36" w:name="_Toc453060467"/>
      <w:r w:rsidRPr="006B434C">
        <w:t xml:space="preserve">Biological </w:t>
      </w:r>
      <w:r w:rsidR="0000312A">
        <w:t>c</w:t>
      </w:r>
      <w:r w:rsidRPr="00530BA3">
        <w:t>haracteristics</w:t>
      </w:r>
      <w:r w:rsidRPr="006B434C">
        <w:t xml:space="preserve"> of </w:t>
      </w:r>
      <w:bookmarkEnd w:id="34"/>
      <w:bookmarkEnd w:id="35"/>
      <w:r w:rsidR="0000312A">
        <w:t>s</w:t>
      </w:r>
      <w:r w:rsidR="00687570" w:rsidRPr="006B434C">
        <w:t>quid</w:t>
      </w:r>
      <w:bookmarkEnd w:id="36"/>
    </w:p>
    <w:p w14:paraId="721A7C25" w14:textId="77777777" w:rsidR="00A30B40" w:rsidRDefault="00DF7C0C" w:rsidP="00530BA3">
      <w:r>
        <w:t xml:space="preserve">The New Zealand arrow squid fishery is based on two related species </w:t>
      </w:r>
      <w:r w:rsidRPr="00A219E4">
        <w:rPr>
          <w:i/>
        </w:rPr>
        <w:t>Nototodarus gouldi</w:t>
      </w:r>
      <w:r>
        <w:t xml:space="preserve"> and </w:t>
      </w:r>
      <w:r w:rsidRPr="00A219E4">
        <w:rPr>
          <w:i/>
        </w:rPr>
        <w:t>Nototodarus sloanii</w:t>
      </w:r>
      <w:r w:rsidR="009B7FD3" w:rsidRPr="00642E8E">
        <w:t xml:space="preserve">. </w:t>
      </w:r>
      <w:r w:rsidR="009B7FD3">
        <w:rPr>
          <w:i/>
        </w:rPr>
        <w:t>N.</w:t>
      </w:r>
      <w:r w:rsidR="009B7FD3" w:rsidRPr="00642E8E">
        <w:rPr>
          <w:i/>
        </w:rPr>
        <w:t xml:space="preserve"> gouldi</w:t>
      </w:r>
      <w:r w:rsidR="009B7FD3" w:rsidRPr="00642E8E">
        <w:t xml:space="preserve"> is </w:t>
      </w:r>
      <w:r w:rsidR="009B7FD3">
        <w:t xml:space="preserve">mainly </w:t>
      </w:r>
      <w:r w:rsidR="009B7FD3" w:rsidRPr="00642E8E">
        <w:t>found around mainland New Zealand north of the Sub</w:t>
      </w:r>
      <w:r w:rsidR="009B7FD3">
        <w:t>tropical Convergence</w:t>
      </w:r>
      <w:r w:rsidR="009B7FD3" w:rsidRPr="00642E8E">
        <w:t xml:space="preserve">, whereas </w:t>
      </w:r>
      <w:r w:rsidR="009B7FD3" w:rsidRPr="00642E8E">
        <w:rPr>
          <w:i/>
        </w:rPr>
        <w:t>N. sloanii</w:t>
      </w:r>
      <w:r w:rsidR="009B7FD3" w:rsidRPr="00642E8E">
        <w:t xml:space="preserve"> is </w:t>
      </w:r>
      <w:r w:rsidR="009B7FD3">
        <w:t>mainly found</w:t>
      </w:r>
      <w:r w:rsidR="009B7FD3" w:rsidRPr="00642E8E">
        <w:t xml:space="preserve"> to the south of the convergence zone. </w:t>
      </w:r>
      <w:r w:rsidR="009B7FD3" w:rsidRPr="00367ADE">
        <w:t>Both species are found across the continental shelf in waters up to 500m in depth, though they are most commonly fo</w:t>
      </w:r>
      <w:r w:rsidR="009B7FD3">
        <w:t xml:space="preserve">und in waters less than 300m in </w:t>
      </w:r>
      <w:r w:rsidR="009B7FD3" w:rsidRPr="00367ADE">
        <w:t>depth.</w:t>
      </w:r>
      <w:r w:rsidR="009B7FD3">
        <w:t xml:space="preserve"> </w:t>
      </w:r>
      <w:r>
        <w:t xml:space="preserve">Both species are sexually dimorphic, though similar in biology and appearance. </w:t>
      </w:r>
      <w:r w:rsidRPr="004B5BAC">
        <w:t>They can grow to a length of 34 cm, with females being larger than males.</w:t>
      </w:r>
      <w:r>
        <w:t xml:space="preserve"> </w:t>
      </w:r>
    </w:p>
    <w:p w14:paraId="721A7C26" w14:textId="77777777" w:rsidR="00A30B40" w:rsidRDefault="00A30B40" w:rsidP="00530BA3"/>
    <w:p w14:paraId="721A7C27" w14:textId="77777777" w:rsidR="00602F00" w:rsidRDefault="004C5870" w:rsidP="00530BA3">
      <w:r>
        <w:t>Arrow squid live for one year, spawn once then die. Every squid fishing season is based on what amounts to a new stock</w:t>
      </w:r>
      <w:r w:rsidR="00A30B40">
        <w:t xml:space="preserve"> meaning that i</w:t>
      </w:r>
      <w:r>
        <w:t xml:space="preserve">t is not possible to calculate </w:t>
      </w:r>
      <w:r w:rsidR="006A7E1E">
        <w:t>estima</w:t>
      </w:r>
      <w:r w:rsidR="00E02576">
        <w:t>t</w:t>
      </w:r>
      <w:r w:rsidR="006A7E1E">
        <w:t>es of sustainable</w:t>
      </w:r>
      <w:r>
        <w:t xml:space="preserve"> yield</w:t>
      </w:r>
      <w:r w:rsidR="00A30B40">
        <w:t>.</w:t>
      </w:r>
      <w:r>
        <w:t xml:space="preserve"> Furthermore, because of the short life span and rapid growth of arrow squid, it is not possible to estimate the biomass prior to the fishing season. </w:t>
      </w:r>
    </w:p>
    <w:p w14:paraId="721A7C28" w14:textId="77777777" w:rsidR="00EB3173" w:rsidRDefault="00EB3173" w:rsidP="00530BA3"/>
    <w:p w14:paraId="721A7C29" w14:textId="77777777" w:rsidR="00710807" w:rsidRPr="006B434C" w:rsidRDefault="00710807" w:rsidP="00530BA3">
      <w:pPr>
        <w:pStyle w:val="Heading2"/>
      </w:pPr>
      <w:bookmarkStart w:id="37" w:name="_Toc436817167"/>
      <w:bookmarkStart w:id="38" w:name="_Toc453060468"/>
      <w:r w:rsidRPr="006B434C">
        <w:t xml:space="preserve">Commercial </w:t>
      </w:r>
      <w:bookmarkEnd w:id="37"/>
      <w:r w:rsidR="0000312A">
        <w:t>f</w:t>
      </w:r>
      <w:r w:rsidR="0055294B" w:rsidRPr="00530BA3">
        <w:t>ishery</w:t>
      </w:r>
      <w:bookmarkEnd w:id="38"/>
    </w:p>
    <w:p w14:paraId="721A7C2A" w14:textId="77777777" w:rsidR="00DA0F3F" w:rsidRDefault="009508B8" w:rsidP="00530BA3">
      <w:pPr>
        <w:jc w:val="both"/>
      </w:pPr>
      <w:r w:rsidRPr="00642E8E">
        <w:t xml:space="preserve">The New Zealand squid </w:t>
      </w:r>
      <w:r w:rsidR="009B7FD3">
        <w:t xml:space="preserve">jigging </w:t>
      </w:r>
      <w:r w:rsidRPr="00642E8E">
        <w:t>fishe</w:t>
      </w:r>
      <w:r w:rsidR="009B7FD3">
        <w:t xml:space="preserve">ry began in the late 1970’s. </w:t>
      </w:r>
      <w:r w:rsidR="00F23224" w:rsidRPr="001D5303">
        <w:t>Jigging is a method of catching squid by continuously lowering and retrieving lines from the fish</w:t>
      </w:r>
      <w:r w:rsidR="00F23224">
        <w:t xml:space="preserve">ing vessel. </w:t>
      </w:r>
      <w:r w:rsidR="00D414C6" w:rsidRPr="00367ADE">
        <w:t xml:space="preserve">The majority of squid </w:t>
      </w:r>
      <w:r w:rsidR="009B7FD3">
        <w:t xml:space="preserve">jigging </w:t>
      </w:r>
      <w:r w:rsidR="00581822">
        <w:t>takes place in the summer/</w:t>
      </w:r>
      <w:r w:rsidR="009B7FD3">
        <w:t xml:space="preserve">autumn </w:t>
      </w:r>
      <w:r w:rsidR="00D414C6" w:rsidRPr="00367ADE">
        <w:t xml:space="preserve">months from January through to </w:t>
      </w:r>
      <w:r w:rsidR="00D414C6" w:rsidRPr="001D5303">
        <w:t xml:space="preserve">May. </w:t>
      </w:r>
      <w:r w:rsidR="00B450B9">
        <w:t>Fishing is often</w:t>
      </w:r>
      <w:r w:rsidR="001D5303" w:rsidRPr="001D5303">
        <w:t xml:space="preserve"> done at night when squid are attracted by powerful lights on the vessel. </w:t>
      </w:r>
      <w:r w:rsidR="002466BA">
        <w:t xml:space="preserve">The number of vessels that have reported landing </w:t>
      </w:r>
      <w:r w:rsidR="00A54907">
        <w:t>SQU 1J</w:t>
      </w:r>
      <w:r w:rsidR="002466BA">
        <w:t xml:space="preserve">, together with landed catch and the </w:t>
      </w:r>
      <w:r w:rsidR="00A54907">
        <w:t>SQU 1J</w:t>
      </w:r>
      <w:r w:rsidR="002466BA">
        <w:t xml:space="preserve"> TACC since the 1990/91 fishing year, is shown in Figure 2 below.</w:t>
      </w:r>
    </w:p>
    <w:p w14:paraId="721A7C2B" w14:textId="77777777" w:rsidR="00A30B40" w:rsidRDefault="00A30B40" w:rsidP="00530BA3">
      <w:pPr>
        <w:jc w:val="both"/>
      </w:pPr>
    </w:p>
    <w:p w14:paraId="721A7C2C" w14:textId="77777777" w:rsidR="00687570" w:rsidRDefault="009B7FD3" w:rsidP="00530BA3">
      <w:r>
        <w:t>The initial TACC set in 1987</w:t>
      </w:r>
      <w:r w:rsidR="00DA0F3F">
        <w:t xml:space="preserve"> was 57,705 tonnes. Over the next three years this was gradually </w:t>
      </w:r>
      <w:r w:rsidR="00DA0F3F" w:rsidRPr="005D259D">
        <w:t>increased as a result of Quota Appeal Authority (QAA) decisions, reaching a maximum of</w:t>
      </w:r>
      <w:r w:rsidR="00DA0F3F">
        <w:t xml:space="preserve"> 76,136 tonnes in 1989/90. In 1990/91 the TACC was reduced by around 30,000 tonnes to 46,087 tonnes before another QAA decision increased the TACC to 50,212 tonnes, where it has remained since the 1</w:t>
      </w:r>
      <w:r w:rsidR="00742EE0">
        <w:t>9</w:t>
      </w:r>
      <w:r w:rsidR="00530BA3">
        <w:t xml:space="preserve">96/97 fishing year (Figure 2). </w:t>
      </w:r>
      <w:r w:rsidR="00742EE0">
        <w:t xml:space="preserve">Since 1994/95, </w:t>
      </w:r>
      <w:r w:rsidR="00A54907">
        <w:t>SQU 1J</w:t>
      </w:r>
      <w:r w:rsidR="00DA0F3F" w:rsidRPr="00CE1741">
        <w:t xml:space="preserve"> catch levels </w:t>
      </w:r>
      <w:r w:rsidR="00DA0F3F">
        <w:t xml:space="preserve">and effort </w:t>
      </w:r>
      <w:r w:rsidR="00742EE0">
        <w:t xml:space="preserve">has </w:t>
      </w:r>
      <w:r w:rsidR="00DA0F3F" w:rsidRPr="00CE1741">
        <w:t>decrease</w:t>
      </w:r>
      <w:r w:rsidR="00742EE0">
        <w:t>d</w:t>
      </w:r>
      <w:r w:rsidR="00530BA3">
        <w:t xml:space="preserve"> and have</w:t>
      </w:r>
      <w:r w:rsidR="00530BA3" w:rsidRPr="00662EBB">
        <w:t xml:space="preserve"> never </w:t>
      </w:r>
      <w:r w:rsidR="00530BA3">
        <w:t xml:space="preserve">exceeded 35,000 tonnes. </w:t>
      </w:r>
      <w:r w:rsidR="00530BA3" w:rsidRPr="00835724">
        <w:t>A maximum of five vessels have operated in the fishery since 2006/07.</w:t>
      </w:r>
      <w:r w:rsidR="00530BA3">
        <w:t xml:space="preserve"> The lowest annual landing</w:t>
      </w:r>
      <w:r w:rsidR="00DA0F3F" w:rsidRPr="00CE1741">
        <w:t xml:space="preserve"> </w:t>
      </w:r>
      <w:r w:rsidR="00530BA3">
        <w:t xml:space="preserve">was </w:t>
      </w:r>
      <w:r w:rsidR="00742EE0">
        <w:t>167 tonnes in 2013/</w:t>
      </w:r>
      <w:r w:rsidR="002466BA">
        <w:t xml:space="preserve">14. </w:t>
      </w:r>
    </w:p>
    <w:p w14:paraId="721A7C2D" w14:textId="77777777" w:rsidR="002351BD" w:rsidRPr="002351BD" w:rsidRDefault="00F374FB" w:rsidP="006B434C">
      <w:pPr>
        <w:spacing w:line="276" w:lineRule="auto"/>
      </w:pPr>
      <w:r>
        <w:rPr>
          <w:noProof/>
          <w:lang w:eastAsia="en-NZ"/>
        </w:rPr>
        <w:lastRenderedPageBreak/>
        <w:drawing>
          <wp:inline distT="0" distB="0" distL="0" distR="0" wp14:anchorId="721A7C8E" wp14:editId="721A7C8F">
            <wp:extent cx="5731510" cy="3582035"/>
            <wp:effectExtent l="0" t="0" r="254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21A7C2E" w14:textId="77777777" w:rsidR="00F374FB" w:rsidRPr="002466BA" w:rsidRDefault="00710807" w:rsidP="006B434C">
      <w:pPr>
        <w:pStyle w:val="TableMainTitle"/>
        <w:spacing w:line="276" w:lineRule="auto"/>
        <w:rPr>
          <w:sz w:val="22"/>
          <w:szCs w:val="22"/>
        </w:rPr>
      </w:pPr>
      <w:r w:rsidRPr="002466BA">
        <w:rPr>
          <w:sz w:val="22"/>
          <w:szCs w:val="22"/>
        </w:rPr>
        <w:t xml:space="preserve">Figure 2: </w:t>
      </w:r>
      <w:r w:rsidR="00A54907">
        <w:rPr>
          <w:sz w:val="22"/>
          <w:szCs w:val="22"/>
        </w:rPr>
        <w:t>SQU 1J</w:t>
      </w:r>
      <w:r w:rsidR="00F374FB" w:rsidRPr="002466BA">
        <w:rPr>
          <w:sz w:val="22"/>
          <w:szCs w:val="22"/>
        </w:rPr>
        <w:t xml:space="preserve"> reported landings and TACC (left axis) and number of vessels operating in the fishery (right axis) between 1990/91 and 2014/15</w:t>
      </w:r>
    </w:p>
    <w:p w14:paraId="721A7C2F" w14:textId="77777777" w:rsidR="00530BA3" w:rsidRPr="0055294B" w:rsidRDefault="00530BA3" w:rsidP="006B434C">
      <w:pPr>
        <w:pStyle w:val="TableMainTitle"/>
        <w:spacing w:line="276" w:lineRule="auto"/>
      </w:pPr>
    </w:p>
    <w:p w14:paraId="721A7C30" w14:textId="77777777" w:rsidR="00710807" w:rsidRPr="006B434C" w:rsidRDefault="00710807" w:rsidP="00530BA3">
      <w:pPr>
        <w:pStyle w:val="Heading2"/>
      </w:pPr>
      <w:bookmarkStart w:id="39" w:name="_Toc436817168"/>
      <w:bookmarkStart w:id="40" w:name="_Toc453060469"/>
      <w:r w:rsidRPr="00530BA3">
        <w:t>Recreational</w:t>
      </w:r>
      <w:r w:rsidRPr="006B434C">
        <w:t xml:space="preserve"> </w:t>
      </w:r>
      <w:bookmarkEnd w:id="39"/>
      <w:r w:rsidR="0000312A">
        <w:t>f</w:t>
      </w:r>
      <w:r w:rsidR="0055294B" w:rsidRPr="006B434C">
        <w:t>ishery</w:t>
      </w:r>
      <w:bookmarkEnd w:id="40"/>
    </w:p>
    <w:p w14:paraId="721A7C31" w14:textId="77777777" w:rsidR="00383008" w:rsidRDefault="00017BAA" w:rsidP="00530BA3">
      <w:r>
        <w:t xml:space="preserve">No quantitative information is available on the current level of </w:t>
      </w:r>
      <w:r w:rsidR="00383008">
        <w:t>arrow squid caught by recreational fishers</w:t>
      </w:r>
      <w:r>
        <w:t xml:space="preserve"> but </w:t>
      </w:r>
      <w:r w:rsidR="000025BD">
        <w:t xml:space="preserve">under the new TAC </w:t>
      </w:r>
      <w:r>
        <w:t>an allowance of 10 tonnes is proposed</w:t>
      </w:r>
      <w:r w:rsidR="000025BD">
        <w:t xml:space="preserve"> for the first time</w:t>
      </w:r>
      <w:r w:rsidR="00383008">
        <w:t>.</w:t>
      </w:r>
    </w:p>
    <w:p w14:paraId="721A7C32" w14:textId="77777777" w:rsidR="00EB3173" w:rsidRPr="00383008" w:rsidRDefault="00EB3173" w:rsidP="00530BA3"/>
    <w:p w14:paraId="721A7C33" w14:textId="77777777" w:rsidR="00710807" w:rsidRPr="006B434C" w:rsidRDefault="00710807" w:rsidP="00530BA3">
      <w:pPr>
        <w:pStyle w:val="Heading2"/>
      </w:pPr>
      <w:bookmarkStart w:id="41" w:name="_Toc436817169"/>
      <w:bookmarkStart w:id="42" w:name="_Toc453060470"/>
      <w:r w:rsidRPr="006B434C">
        <w:t xml:space="preserve">Māori </w:t>
      </w:r>
      <w:r w:rsidR="0000312A">
        <w:t>c</w:t>
      </w:r>
      <w:r w:rsidRPr="00530BA3">
        <w:t>ustomary</w:t>
      </w:r>
      <w:r w:rsidRPr="006B434C">
        <w:t xml:space="preserve"> </w:t>
      </w:r>
      <w:bookmarkEnd w:id="41"/>
      <w:r w:rsidR="0000312A">
        <w:t>f</w:t>
      </w:r>
      <w:r w:rsidR="0055294B" w:rsidRPr="006B434C">
        <w:t>ishery</w:t>
      </w:r>
      <w:bookmarkEnd w:id="42"/>
    </w:p>
    <w:p w14:paraId="721A7C34" w14:textId="77777777" w:rsidR="00383008" w:rsidRDefault="00383008" w:rsidP="00530BA3">
      <w:r>
        <w:t>No quantitative information is available on the current level of customary non-commercial take</w:t>
      </w:r>
      <w:r w:rsidR="00017BAA" w:rsidRPr="00017BAA">
        <w:t xml:space="preserve"> </w:t>
      </w:r>
      <w:r w:rsidR="00017BAA">
        <w:t xml:space="preserve">but </w:t>
      </w:r>
      <w:r w:rsidR="000025BD">
        <w:t xml:space="preserve">under the new TAC </w:t>
      </w:r>
      <w:r w:rsidR="00017BAA">
        <w:t>an allowance of 10 tonnes is proposed</w:t>
      </w:r>
      <w:r w:rsidR="000025BD">
        <w:t xml:space="preserve"> for the first time</w:t>
      </w:r>
      <w:r>
        <w:t>.</w:t>
      </w:r>
    </w:p>
    <w:p w14:paraId="721A7C35" w14:textId="77777777" w:rsidR="00EB3173" w:rsidRPr="00383008" w:rsidRDefault="00EB3173" w:rsidP="00530BA3"/>
    <w:p w14:paraId="721A7C36" w14:textId="77777777" w:rsidR="00710807" w:rsidRPr="006B434C" w:rsidRDefault="0000312A" w:rsidP="00530BA3">
      <w:pPr>
        <w:pStyle w:val="Heading2"/>
      </w:pPr>
      <w:bookmarkStart w:id="43" w:name="_Toc436817170"/>
      <w:bookmarkStart w:id="44" w:name="_Toc453060471"/>
      <w:r>
        <w:t>Other sources of fishing-related m</w:t>
      </w:r>
      <w:r w:rsidR="00710807" w:rsidRPr="006B434C">
        <w:t>ortality</w:t>
      </w:r>
      <w:bookmarkEnd w:id="43"/>
      <w:bookmarkEnd w:id="44"/>
    </w:p>
    <w:p w14:paraId="721A7C37" w14:textId="77777777" w:rsidR="00CA72A8" w:rsidRDefault="00CA72A8" w:rsidP="00530BA3">
      <w:r>
        <w:t>MPI does not have</w:t>
      </w:r>
      <w:r w:rsidR="006A7E1E">
        <w:t xml:space="preserve"> any</w:t>
      </w:r>
      <w:r>
        <w:t xml:space="preserve"> estimates of these </w:t>
      </w:r>
      <w:r w:rsidR="004D4C12">
        <w:t xml:space="preserve">other </w:t>
      </w:r>
      <w:r>
        <w:t xml:space="preserve">sources of </w:t>
      </w:r>
      <w:r w:rsidR="004D4C12">
        <w:t xml:space="preserve">fishing-related </w:t>
      </w:r>
      <w:r>
        <w:t>mortality</w:t>
      </w:r>
      <w:r w:rsidR="00626D88">
        <w:t xml:space="preserve"> </w:t>
      </w:r>
      <w:r w:rsidR="000025BD">
        <w:t>but under the new TAC</w:t>
      </w:r>
      <w:r w:rsidR="00626D88">
        <w:t xml:space="preserve"> </w:t>
      </w:r>
      <w:r w:rsidR="006A7E1E">
        <w:t>an allowance</w:t>
      </w:r>
      <w:r w:rsidR="00626D88">
        <w:t xml:space="preserve"> </w:t>
      </w:r>
      <w:r w:rsidR="006A7E1E">
        <w:t xml:space="preserve">of </w:t>
      </w:r>
      <w:r w:rsidR="00626D88">
        <w:t>10 tonnes</w:t>
      </w:r>
      <w:r w:rsidR="00017BAA">
        <w:t xml:space="preserve"> is proposed</w:t>
      </w:r>
      <w:r w:rsidR="000025BD">
        <w:t xml:space="preserve"> for the first time</w:t>
      </w:r>
      <w:r w:rsidR="006A7E1E">
        <w:t>.</w:t>
      </w:r>
    </w:p>
    <w:p w14:paraId="721A7C38" w14:textId="77777777" w:rsidR="00EB3173" w:rsidRPr="00024CC6" w:rsidRDefault="00EB3173" w:rsidP="00530BA3"/>
    <w:p w14:paraId="721A7C39" w14:textId="77777777" w:rsidR="00710807" w:rsidRPr="006B434C" w:rsidRDefault="00710807" w:rsidP="00530BA3">
      <w:pPr>
        <w:pStyle w:val="Heading2"/>
      </w:pPr>
      <w:bookmarkStart w:id="45" w:name="_Toc421169856"/>
      <w:bookmarkStart w:id="46" w:name="_Toc436817171"/>
      <w:bookmarkStart w:id="47" w:name="_Toc453060472"/>
      <w:r w:rsidRPr="00530BA3">
        <w:t>Previous</w:t>
      </w:r>
      <w:r w:rsidR="0000312A">
        <w:t xml:space="preserve"> r</w:t>
      </w:r>
      <w:r w:rsidRPr="006B434C">
        <w:t>eview</w:t>
      </w:r>
      <w:bookmarkEnd w:id="45"/>
      <w:bookmarkEnd w:id="46"/>
      <w:bookmarkEnd w:id="47"/>
      <w:r w:rsidRPr="006B434C">
        <w:t xml:space="preserve"> </w:t>
      </w:r>
    </w:p>
    <w:p w14:paraId="721A7C3A" w14:textId="77777777" w:rsidR="00D25F34" w:rsidRDefault="000C02FD" w:rsidP="00530BA3">
      <w:r>
        <w:rPr>
          <w:noProof/>
        </w:rPr>
        <w:t xml:space="preserve">The TACC was last </w:t>
      </w:r>
      <w:r w:rsidR="00DF5531">
        <w:rPr>
          <w:noProof/>
        </w:rPr>
        <w:t xml:space="preserve">increased </w:t>
      </w:r>
      <w:r>
        <w:rPr>
          <w:noProof/>
        </w:rPr>
        <w:t xml:space="preserve">in 1996/97 from </w:t>
      </w:r>
      <w:r>
        <w:t xml:space="preserve">46,087 tonnes </w:t>
      </w:r>
      <w:r>
        <w:rPr>
          <w:noProof/>
        </w:rPr>
        <w:t xml:space="preserve">to </w:t>
      </w:r>
      <w:r>
        <w:t xml:space="preserve">50,212 </w:t>
      </w:r>
      <w:r w:rsidR="00F429E3">
        <w:t>tonnes</w:t>
      </w:r>
      <w:r>
        <w:rPr>
          <w:noProof/>
        </w:rPr>
        <w:t xml:space="preserve"> as the result of a QAA decision.</w:t>
      </w:r>
      <w:r w:rsidR="00D25F34">
        <w:t xml:space="preserve"> </w:t>
      </w:r>
    </w:p>
    <w:p w14:paraId="721A7C3B" w14:textId="77777777" w:rsidR="00F429E3" w:rsidRDefault="00F429E3" w:rsidP="00530BA3"/>
    <w:p w14:paraId="721A7C3C" w14:textId="77777777" w:rsidR="00710807" w:rsidRPr="006B434C" w:rsidRDefault="0055294B" w:rsidP="00530BA3">
      <w:pPr>
        <w:pStyle w:val="Heading2"/>
      </w:pPr>
      <w:bookmarkStart w:id="48" w:name="_Toc421169857"/>
      <w:bookmarkStart w:id="49" w:name="_Toc436817172"/>
      <w:bookmarkStart w:id="50" w:name="_Toc453060473"/>
      <w:r w:rsidRPr="006B434C">
        <w:t>Science</w:t>
      </w:r>
      <w:r w:rsidR="00710807" w:rsidRPr="006B434C">
        <w:t xml:space="preserve"> </w:t>
      </w:r>
      <w:r w:rsidR="0000312A">
        <w:t>i</w:t>
      </w:r>
      <w:r w:rsidR="00710807" w:rsidRPr="00530BA3">
        <w:t>nformation</w:t>
      </w:r>
      <w:bookmarkEnd w:id="48"/>
      <w:bookmarkEnd w:id="49"/>
      <w:bookmarkEnd w:id="50"/>
      <w:r w:rsidR="00710807" w:rsidRPr="006B434C">
        <w:t xml:space="preserve"> </w:t>
      </w:r>
    </w:p>
    <w:p w14:paraId="721A7C3D" w14:textId="77777777" w:rsidR="00276EF2" w:rsidRDefault="00AC6510" w:rsidP="00530BA3">
      <w:pPr>
        <w:pStyle w:val="CommentText"/>
        <w:rPr>
          <w:color w:val="000000"/>
          <w:sz w:val="24"/>
          <w:szCs w:val="24"/>
          <w:shd w:val="clear" w:color="auto" w:fill="FFFFFF"/>
        </w:rPr>
      </w:pPr>
      <w:r w:rsidRPr="00AC6510">
        <w:rPr>
          <w:color w:val="000000"/>
          <w:sz w:val="24"/>
          <w:szCs w:val="24"/>
          <w:shd w:val="clear" w:color="auto" w:fill="FFFFFF"/>
        </w:rPr>
        <w:t>No estimates of current and reference biomass are available. There is also no proven method at this time to estimate yields from the squid fishery before a fishing season begins.</w:t>
      </w:r>
      <w:r>
        <w:rPr>
          <w:color w:val="000000"/>
          <w:sz w:val="24"/>
          <w:szCs w:val="24"/>
        </w:rPr>
        <w:t xml:space="preserve"> </w:t>
      </w:r>
      <w:r w:rsidRPr="00AC6510">
        <w:rPr>
          <w:color w:val="000000"/>
          <w:sz w:val="24"/>
          <w:szCs w:val="24"/>
          <w:shd w:val="clear" w:color="auto" w:fill="FFFFFF"/>
        </w:rPr>
        <w:t xml:space="preserve">Because squid live for about one year, spawn and then die, and because the fishery is so variable, it is not practical to predict future stock size in advance of the fishing season. </w:t>
      </w:r>
      <w:r w:rsidR="00276EF2">
        <w:rPr>
          <w:color w:val="000000"/>
          <w:sz w:val="24"/>
          <w:szCs w:val="24"/>
          <w:shd w:val="clear" w:color="auto" w:fill="FFFFFF"/>
        </w:rPr>
        <w:t xml:space="preserve">But this can be </w:t>
      </w:r>
      <w:r w:rsidR="00276EF2">
        <w:rPr>
          <w:color w:val="000000"/>
          <w:sz w:val="24"/>
          <w:szCs w:val="24"/>
          <w:shd w:val="clear" w:color="auto" w:fill="FFFFFF"/>
        </w:rPr>
        <w:lastRenderedPageBreak/>
        <w:t xml:space="preserve">managed by an appropriately set baseline TAC plus the ability to do in-season increases to the TAC. </w:t>
      </w:r>
    </w:p>
    <w:p w14:paraId="721A7C3E" w14:textId="77777777" w:rsidR="00276EF2" w:rsidRDefault="00276EF2" w:rsidP="00530BA3">
      <w:pPr>
        <w:pStyle w:val="CommentText"/>
        <w:rPr>
          <w:color w:val="000000"/>
          <w:sz w:val="24"/>
          <w:szCs w:val="24"/>
          <w:shd w:val="clear" w:color="auto" w:fill="FFFFFF"/>
        </w:rPr>
      </w:pPr>
    </w:p>
    <w:p w14:paraId="721A7C3F" w14:textId="77777777" w:rsidR="00A12AE1" w:rsidRDefault="00AC6510" w:rsidP="00530BA3">
      <w:pPr>
        <w:pStyle w:val="CommentText"/>
        <w:rPr>
          <w:sz w:val="24"/>
          <w:szCs w:val="24"/>
        </w:rPr>
      </w:pPr>
      <w:r w:rsidRPr="00AC6510">
        <w:rPr>
          <w:color w:val="000000"/>
          <w:sz w:val="24"/>
          <w:szCs w:val="24"/>
          <w:shd w:val="clear" w:color="auto" w:fill="FFFFFF"/>
        </w:rPr>
        <w:t>It is not known whether New Zealand squid stocks have ever been stressed through fishing mortality</w:t>
      </w:r>
      <w:r>
        <w:rPr>
          <w:color w:val="000000"/>
          <w:sz w:val="24"/>
          <w:szCs w:val="24"/>
          <w:shd w:val="clear" w:color="auto" w:fill="FFFFFF"/>
        </w:rPr>
        <w:t xml:space="preserve">. </w:t>
      </w:r>
      <w:r>
        <w:rPr>
          <w:sz w:val="24"/>
          <w:szCs w:val="24"/>
        </w:rPr>
        <w:t>A recent</w:t>
      </w:r>
      <w:r w:rsidR="002466BA" w:rsidRPr="00AC6510">
        <w:rPr>
          <w:sz w:val="24"/>
          <w:szCs w:val="24"/>
        </w:rPr>
        <w:t xml:space="preserve"> attempt was made to run an in-season stock assessment of squid but was not considered </w:t>
      </w:r>
      <w:r w:rsidR="006A7E1E">
        <w:rPr>
          <w:sz w:val="24"/>
          <w:szCs w:val="24"/>
        </w:rPr>
        <w:t xml:space="preserve">useful </w:t>
      </w:r>
      <w:r w:rsidR="003930AA">
        <w:rPr>
          <w:sz w:val="24"/>
          <w:szCs w:val="24"/>
        </w:rPr>
        <w:t>as a management tool</w:t>
      </w:r>
      <w:r w:rsidR="002466BA" w:rsidRPr="00AC6510">
        <w:rPr>
          <w:sz w:val="24"/>
          <w:szCs w:val="24"/>
        </w:rPr>
        <w:t>.</w:t>
      </w:r>
    </w:p>
    <w:p w14:paraId="721A7C40" w14:textId="77777777" w:rsidR="00EB3173" w:rsidRPr="00CA3A01" w:rsidRDefault="00EB3173" w:rsidP="00530BA3">
      <w:pPr>
        <w:pStyle w:val="CommentText"/>
      </w:pPr>
    </w:p>
    <w:p w14:paraId="721A7C41" w14:textId="77777777" w:rsidR="00BE4A25" w:rsidRPr="006B434C" w:rsidRDefault="00AD7D80" w:rsidP="00530BA3">
      <w:pPr>
        <w:pStyle w:val="Heading1"/>
      </w:pPr>
      <w:bookmarkStart w:id="51" w:name="_Toc436817015"/>
      <w:bookmarkStart w:id="52" w:name="_Toc436817173"/>
      <w:bookmarkStart w:id="53" w:name="_Toc453060474"/>
      <w:r w:rsidRPr="006B434C">
        <w:t xml:space="preserve">Legal </w:t>
      </w:r>
      <w:r w:rsidRPr="00530BA3">
        <w:t>Considerations</w:t>
      </w:r>
      <w:bookmarkEnd w:id="51"/>
      <w:bookmarkEnd w:id="52"/>
      <w:bookmarkEnd w:id="53"/>
    </w:p>
    <w:p w14:paraId="721A7C42" w14:textId="77777777" w:rsidR="00BE4A25" w:rsidRPr="006B434C" w:rsidRDefault="0000312A" w:rsidP="00530BA3">
      <w:pPr>
        <w:pStyle w:val="Heading2"/>
      </w:pPr>
      <w:bookmarkStart w:id="54" w:name="_Toc436817174"/>
      <w:bookmarkStart w:id="55" w:name="_Toc453060475"/>
      <w:r>
        <w:t>S</w:t>
      </w:r>
      <w:r w:rsidR="0055294B" w:rsidRPr="006B434C">
        <w:t>etting</w:t>
      </w:r>
      <w:r w:rsidR="00BE4A25" w:rsidRPr="006B434C">
        <w:t xml:space="preserve"> </w:t>
      </w:r>
      <w:r>
        <w:t>m</w:t>
      </w:r>
      <w:r w:rsidR="0055294B" w:rsidRPr="00530BA3">
        <w:t>anagement</w:t>
      </w:r>
      <w:r w:rsidR="00BE4A25" w:rsidRPr="006B434C">
        <w:t xml:space="preserve"> </w:t>
      </w:r>
      <w:bookmarkEnd w:id="54"/>
      <w:r>
        <w:t>m</w:t>
      </w:r>
      <w:r w:rsidR="00C472B4" w:rsidRPr="006B434C">
        <w:t>easures</w:t>
      </w:r>
      <w:bookmarkEnd w:id="55"/>
    </w:p>
    <w:p w14:paraId="721A7C43" w14:textId="77777777" w:rsidR="00276EF2" w:rsidRDefault="00276EF2" w:rsidP="00276EF2">
      <w:r>
        <w:rPr>
          <w:szCs w:val="24"/>
          <w:lang w:val="en-GB"/>
        </w:rPr>
        <w:t>As noted above s</w:t>
      </w:r>
      <w:r w:rsidRPr="00F65275">
        <w:rPr>
          <w:szCs w:val="24"/>
          <w:lang w:val="en-GB"/>
        </w:rPr>
        <w:t xml:space="preserve">quid are listed </w:t>
      </w:r>
      <w:r>
        <w:rPr>
          <w:szCs w:val="24"/>
          <w:lang w:val="en-GB"/>
        </w:rPr>
        <w:t xml:space="preserve">on </w:t>
      </w:r>
      <w:r w:rsidRPr="00F65275">
        <w:rPr>
          <w:szCs w:val="24"/>
          <w:lang w:val="en-GB"/>
        </w:rPr>
        <w:t>Schedule</w:t>
      </w:r>
      <w:r>
        <w:rPr>
          <w:szCs w:val="24"/>
          <w:lang w:val="en-GB"/>
        </w:rPr>
        <w:t xml:space="preserve"> </w:t>
      </w:r>
      <w:r w:rsidRPr="00F65275">
        <w:rPr>
          <w:szCs w:val="24"/>
          <w:lang w:val="en-GB"/>
        </w:rPr>
        <w:t xml:space="preserve">3 of the Fisheries Act 1996 </w:t>
      </w:r>
      <w:r>
        <w:rPr>
          <w:szCs w:val="24"/>
          <w:lang w:val="en-GB"/>
        </w:rPr>
        <w:t>(the Act). Therefore the Minister may set a TAC under s 14 of the Act if satisfied that the purpose of the Act would be better achieved otherwise than by setting a TAC under s 13</w:t>
      </w:r>
      <w:r w:rsidR="009714B5">
        <w:rPr>
          <w:szCs w:val="24"/>
          <w:lang w:val="en-GB"/>
        </w:rPr>
        <w:t xml:space="preserve"> (which requires the setting of a TAC based on B</w:t>
      </w:r>
      <w:r w:rsidR="00DF5531" w:rsidRPr="00442999">
        <w:rPr>
          <w:szCs w:val="24"/>
          <w:vertAlign w:val="subscript"/>
          <w:lang w:val="en-GB"/>
        </w:rPr>
        <w:t>MSY</w:t>
      </w:r>
      <w:r w:rsidR="009714B5">
        <w:rPr>
          <w:szCs w:val="24"/>
          <w:lang w:val="en-GB"/>
        </w:rPr>
        <w:t>)</w:t>
      </w:r>
      <w:r>
        <w:rPr>
          <w:szCs w:val="24"/>
          <w:lang w:val="en-GB"/>
        </w:rPr>
        <w:t>.</w:t>
      </w:r>
      <w:r>
        <w:t xml:space="preserve"> </w:t>
      </w:r>
    </w:p>
    <w:p w14:paraId="721A7C44" w14:textId="77777777" w:rsidR="00276EF2" w:rsidRDefault="00276EF2" w:rsidP="00276EF2"/>
    <w:p w14:paraId="721A7C45" w14:textId="77777777" w:rsidR="00276EF2" w:rsidRDefault="00F67CB5" w:rsidP="00276EF2">
      <w:r>
        <w:rPr>
          <w:color w:val="000000"/>
          <w:szCs w:val="24"/>
          <w:shd w:val="clear" w:color="auto" w:fill="FFFFFF"/>
        </w:rPr>
        <w:t>Since squid is listed on Schedule 3</w:t>
      </w:r>
      <w:r w:rsidR="0050410A">
        <w:rPr>
          <w:color w:val="000000"/>
          <w:szCs w:val="24"/>
          <w:shd w:val="clear" w:color="auto" w:fill="FFFFFF"/>
        </w:rPr>
        <w:t>,</w:t>
      </w:r>
      <w:r>
        <w:rPr>
          <w:color w:val="000000"/>
          <w:szCs w:val="24"/>
          <w:shd w:val="clear" w:color="auto" w:fill="FFFFFF"/>
        </w:rPr>
        <w:t xml:space="preserve"> there is power </w:t>
      </w:r>
      <w:r w:rsidR="00276EF2">
        <w:rPr>
          <w:color w:val="000000"/>
          <w:szCs w:val="24"/>
          <w:shd w:val="clear" w:color="auto" w:fill="FFFFFF"/>
        </w:rPr>
        <w:t xml:space="preserve">under s14(6) to do in-season increases to the TAC. The in-season increase applies for the fishing year in which it is done </w:t>
      </w:r>
      <w:r>
        <w:rPr>
          <w:color w:val="000000"/>
          <w:szCs w:val="24"/>
          <w:shd w:val="clear" w:color="auto" w:fill="FFFFFF"/>
        </w:rPr>
        <w:t>and the TAC reverts</w:t>
      </w:r>
      <w:r w:rsidR="00276EF2">
        <w:rPr>
          <w:color w:val="000000"/>
          <w:szCs w:val="24"/>
          <w:shd w:val="clear" w:color="auto" w:fill="FFFFFF"/>
        </w:rPr>
        <w:t xml:space="preserve"> to the baseline TAC at the end of the fishing year. This paper is concerned only with setti</w:t>
      </w:r>
      <w:r>
        <w:rPr>
          <w:color w:val="000000"/>
          <w:szCs w:val="24"/>
          <w:shd w:val="clear" w:color="auto" w:fill="FFFFFF"/>
        </w:rPr>
        <w:t xml:space="preserve">ng an appropriate baseline TAC but the in-season increase power is </w:t>
      </w:r>
      <w:r w:rsidR="004130E8">
        <w:rPr>
          <w:color w:val="000000"/>
          <w:szCs w:val="24"/>
          <w:shd w:val="clear" w:color="auto" w:fill="FFFFFF"/>
        </w:rPr>
        <w:t xml:space="preserve">an important </w:t>
      </w:r>
      <w:r>
        <w:rPr>
          <w:color w:val="000000"/>
          <w:szCs w:val="24"/>
          <w:shd w:val="clear" w:color="auto" w:fill="FFFFFF"/>
        </w:rPr>
        <w:t>part of the management regime for squid</w:t>
      </w:r>
      <w:r w:rsidR="004130E8">
        <w:rPr>
          <w:color w:val="000000"/>
          <w:szCs w:val="24"/>
          <w:shd w:val="clear" w:color="auto" w:fill="FFFFFF"/>
        </w:rPr>
        <w:t xml:space="preserve"> given its biological characteristics</w:t>
      </w:r>
      <w:r>
        <w:rPr>
          <w:color w:val="000000"/>
          <w:szCs w:val="24"/>
          <w:shd w:val="clear" w:color="auto" w:fill="FFFFFF"/>
        </w:rPr>
        <w:t>.</w:t>
      </w:r>
    </w:p>
    <w:p w14:paraId="721A7C46" w14:textId="77777777" w:rsidR="006B08D8" w:rsidRDefault="006B08D8" w:rsidP="00216A47">
      <w:pPr>
        <w:rPr>
          <w:shd w:val="clear" w:color="auto" w:fill="FFFFFF"/>
        </w:rPr>
      </w:pPr>
    </w:p>
    <w:p w14:paraId="721A7C47" w14:textId="77777777" w:rsidR="00216A47" w:rsidRDefault="001B3FBD" w:rsidP="00216A47">
      <w:r>
        <w:rPr>
          <w:shd w:val="clear" w:color="auto" w:fill="FFFFFF"/>
        </w:rPr>
        <w:t xml:space="preserve">Three options are proposed for the TACC. </w:t>
      </w:r>
      <w:r w:rsidR="00017BAA">
        <w:t>The amount of squid taken by r</w:t>
      </w:r>
      <w:r w:rsidR="00216A47">
        <w:t xml:space="preserve">ecreational and </w:t>
      </w:r>
      <w:r w:rsidR="00BC039A">
        <w:t>M</w:t>
      </w:r>
      <w:r w:rsidR="00BC039A" w:rsidRPr="00033C36">
        <w:t>āori</w:t>
      </w:r>
      <w:r w:rsidR="00216A47" w:rsidRPr="00033C36">
        <w:t xml:space="preserve"> customary </w:t>
      </w:r>
      <w:r w:rsidR="00017BAA">
        <w:t>is not know</w:t>
      </w:r>
      <w:r w:rsidR="00614CAA">
        <w:t>n</w:t>
      </w:r>
      <w:r w:rsidR="00017BAA">
        <w:t xml:space="preserve"> however </w:t>
      </w:r>
      <w:r w:rsidR="00216A47" w:rsidRPr="00033C36">
        <w:t>allowance</w:t>
      </w:r>
      <w:r w:rsidR="00216A47">
        <w:t>s</w:t>
      </w:r>
      <w:r w:rsidR="00216A47" w:rsidRPr="00033C36">
        <w:t xml:space="preserve"> </w:t>
      </w:r>
      <w:r w:rsidR="00216A47">
        <w:t>are proposed to be</w:t>
      </w:r>
      <w:r w:rsidR="00216A47" w:rsidRPr="00033C36">
        <w:t xml:space="preserve"> </w:t>
      </w:r>
      <w:r w:rsidR="00F35305">
        <w:t>ten</w:t>
      </w:r>
      <w:r w:rsidR="00216A47" w:rsidRPr="00033C36">
        <w:t xml:space="preserve"> (</w:t>
      </w:r>
      <w:r w:rsidR="00017BAA">
        <w:t>1</w:t>
      </w:r>
      <w:r w:rsidR="00216A47" w:rsidRPr="00033C36">
        <w:t>0) tonnes</w:t>
      </w:r>
      <w:r w:rsidR="00017BAA">
        <w:t xml:space="preserve"> for each</w:t>
      </w:r>
      <w:r w:rsidR="00F35305" w:rsidRPr="00F35305">
        <w:t xml:space="preserve"> </w:t>
      </w:r>
      <w:r>
        <w:t xml:space="preserve">of the three options </w:t>
      </w:r>
      <w:r w:rsidR="00F35305">
        <w:t>under the TAC for the first time</w:t>
      </w:r>
      <w:r w:rsidR="00216A47" w:rsidRPr="00033C36">
        <w:t xml:space="preserve">. </w:t>
      </w:r>
      <w:r w:rsidR="00216A47">
        <w:t>Other sources of fishing related mortality are unknow</w:t>
      </w:r>
      <w:r w:rsidR="00F35305">
        <w:t>n but it is proposed to set a ten (10)</w:t>
      </w:r>
      <w:r w:rsidR="00216A47">
        <w:t xml:space="preserve"> tonne allowance under the TAC</w:t>
      </w:r>
      <w:r w:rsidR="00F35305">
        <w:t xml:space="preserve"> for the first time</w:t>
      </w:r>
      <w:r>
        <w:t xml:space="preserve"> for each of the three options</w:t>
      </w:r>
      <w:r w:rsidR="00216A47">
        <w:t>.</w:t>
      </w:r>
    </w:p>
    <w:p w14:paraId="721A7C48" w14:textId="77777777" w:rsidR="006B08D8" w:rsidRDefault="006B08D8" w:rsidP="006B08D8">
      <w:pPr>
        <w:rPr>
          <w:shd w:val="clear" w:color="auto" w:fill="FFFFFF"/>
        </w:rPr>
      </w:pPr>
    </w:p>
    <w:p w14:paraId="721A7C49" w14:textId="77777777" w:rsidR="00216A47" w:rsidRDefault="006B08D8" w:rsidP="00530BA3">
      <w:r>
        <w:t>T</w:t>
      </w:r>
      <w:r w:rsidRPr="006B08D8">
        <w:t xml:space="preserve">he proposed large reductions in TACC to </w:t>
      </w:r>
      <w:r w:rsidR="00FA736C">
        <w:t xml:space="preserve">near current catch levels </w:t>
      </w:r>
      <w:r w:rsidRPr="006B08D8">
        <w:t>combined with the ab</w:t>
      </w:r>
      <w:r w:rsidR="00FA736C">
        <w:t xml:space="preserve">ility to do in-season increases, are considered to </w:t>
      </w:r>
      <w:r w:rsidRPr="006B08D8">
        <w:t>be a better way of achieving the purpose of the Act in relation to this species</w:t>
      </w:r>
      <w:r w:rsidR="00DF5531">
        <w:t xml:space="preserve"> and is more consistent with the objectives of the fisheries plan for deepwater fisheries</w:t>
      </w:r>
      <w:r w:rsidRPr="006B08D8">
        <w:t>.</w:t>
      </w:r>
    </w:p>
    <w:p w14:paraId="721A7C4A" w14:textId="77777777" w:rsidR="00EB3173" w:rsidRPr="00442999" w:rsidRDefault="00EB3173" w:rsidP="00530BA3"/>
    <w:p w14:paraId="721A7C4B" w14:textId="77777777" w:rsidR="00BE4A25" w:rsidRPr="006B434C" w:rsidRDefault="0055294B" w:rsidP="00530BA3">
      <w:pPr>
        <w:pStyle w:val="Heading2"/>
      </w:pPr>
      <w:bookmarkStart w:id="56" w:name="_Toc436817175"/>
      <w:bookmarkStart w:id="57" w:name="_Toc453060476"/>
      <w:r w:rsidRPr="006B434C">
        <w:t xml:space="preserve">Further </w:t>
      </w:r>
      <w:r w:rsidR="0000312A">
        <w:t>c</w:t>
      </w:r>
      <w:r w:rsidR="00BE4A25" w:rsidRPr="00530BA3">
        <w:t>onsiderations</w:t>
      </w:r>
      <w:bookmarkEnd w:id="56"/>
      <w:bookmarkEnd w:id="57"/>
    </w:p>
    <w:p w14:paraId="721A7C4C" w14:textId="77777777" w:rsidR="005C56C1" w:rsidRDefault="00177F25" w:rsidP="00530BA3">
      <w:r>
        <w:t xml:space="preserve">Sections 9(a) and (b) </w:t>
      </w:r>
      <w:r w:rsidR="00216A47">
        <w:t>of the Act</w:t>
      </w:r>
      <w:r>
        <w:t xml:space="preserve"> require the Minister to take into account that associated or dependent species be maintained at or above a level that ensures their long-term viability, and that the biological diversity of the aquatic environment should be maintained.</w:t>
      </w:r>
      <w:r w:rsidR="000260AA">
        <w:t xml:space="preserve"> </w:t>
      </w:r>
      <w:r w:rsidR="00BE4A25">
        <w:t>The key environmental intera</w:t>
      </w:r>
      <w:r w:rsidR="00754502">
        <w:t xml:space="preserve">ctions associated with the </w:t>
      </w:r>
      <w:r w:rsidR="00A54907">
        <w:t>SQU 1J</w:t>
      </w:r>
      <w:r w:rsidR="00BE4A25">
        <w:t xml:space="preserve"> fishery are discussed below.</w:t>
      </w:r>
    </w:p>
    <w:p w14:paraId="721A7C4D" w14:textId="77777777" w:rsidR="00AA0251" w:rsidRPr="00AA0251" w:rsidRDefault="00AA0251" w:rsidP="00AB7F5E">
      <w:pPr>
        <w:pStyle w:val="text"/>
        <w:shd w:val="clear" w:color="auto" w:fill="FFFFFF"/>
        <w:spacing w:before="83" w:beforeAutospacing="0" w:after="0" w:afterAutospacing="0" w:line="288" w:lineRule="atLeast"/>
        <w:textAlignment w:val="baseline"/>
        <w:rPr>
          <w:szCs w:val="20"/>
          <w:lang w:eastAsia="en-US"/>
        </w:rPr>
      </w:pPr>
      <w:r w:rsidRPr="00AA0251">
        <w:rPr>
          <w:szCs w:val="20"/>
          <w:lang w:eastAsia="en-US"/>
        </w:rPr>
        <w:t xml:space="preserve">Section 10 of the Act requires that </w:t>
      </w:r>
      <w:r>
        <w:rPr>
          <w:szCs w:val="20"/>
          <w:lang w:eastAsia="en-US"/>
        </w:rPr>
        <w:t>a</w:t>
      </w:r>
      <w:r w:rsidRPr="00AA0251">
        <w:rPr>
          <w:szCs w:val="20"/>
          <w:lang w:eastAsia="en-US"/>
        </w:rPr>
        <w:t>ll persons exercising or performing functions, duties, or powers under this Act, in relation to the utilisation of fisheries resources or ensuring sustainabili</w:t>
      </w:r>
      <w:r w:rsidR="00AB7F5E">
        <w:rPr>
          <w:szCs w:val="20"/>
          <w:lang w:eastAsia="en-US"/>
        </w:rPr>
        <w:t xml:space="preserve">ty, shall take into account </w:t>
      </w:r>
      <w:r>
        <w:rPr>
          <w:szCs w:val="20"/>
          <w:lang w:eastAsia="en-US"/>
        </w:rPr>
        <w:t xml:space="preserve">that </w:t>
      </w:r>
      <w:r w:rsidRPr="00AA0251">
        <w:rPr>
          <w:szCs w:val="20"/>
          <w:lang w:eastAsia="en-US"/>
        </w:rPr>
        <w:t>decisions should be based on</w:t>
      </w:r>
      <w:r>
        <w:rPr>
          <w:szCs w:val="20"/>
          <w:lang w:eastAsia="en-US"/>
        </w:rPr>
        <w:t xml:space="preserve"> the best available information</w:t>
      </w:r>
      <w:r w:rsidR="00AB7F5E">
        <w:rPr>
          <w:szCs w:val="20"/>
          <w:lang w:eastAsia="en-US"/>
        </w:rPr>
        <w:t xml:space="preserve">, </w:t>
      </w:r>
      <w:r>
        <w:rPr>
          <w:szCs w:val="20"/>
          <w:lang w:eastAsia="en-US"/>
        </w:rPr>
        <w:t xml:space="preserve">that </w:t>
      </w:r>
      <w:r w:rsidRPr="00AA0251">
        <w:rPr>
          <w:szCs w:val="20"/>
          <w:lang w:eastAsia="en-US"/>
        </w:rPr>
        <w:t>decision makers should consider any uncertainty in the in</w:t>
      </w:r>
      <w:r>
        <w:rPr>
          <w:szCs w:val="20"/>
          <w:lang w:eastAsia="en-US"/>
        </w:rPr>
        <w:t>formation available in any case</w:t>
      </w:r>
      <w:r w:rsidR="00AB7F5E">
        <w:rPr>
          <w:szCs w:val="20"/>
          <w:lang w:eastAsia="en-US"/>
        </w:rPr>
        <w:t xml:space="preserve">, </w:t>
      </w:r>
      <w:r w:rsidRPr="00AA0251">
        <w:rPr>
          <w:szCs w:val="20"/>
          <w:lang w:eastAsia="en-US"/>
        </w:rPr>
        <w:t>that decision makers should be cautious when information is uncer</w:t>
      </w:r>
      <w:r>
        <w:rPr>
          <w:szCs w:val="20"/>
          <w:lang w:eastAsia="en-US"/>
        </w:rPr>
        <w:t>tain, unreliable, or inadequate and</w:t>
      </w:r>
      <w:r w:rsidR="00AB7F5E">
        <w:rPr>
          <w:szCs w:val="20"/>
          <w:lang w:eastAsia="en-US"/>
        </w:rPr>
        <w:t xml:space="preserve"> </w:t>
      </w:r>
      <w:r w:rsidRPr="00AA0251">
        <w:rPr>
          <w:szCs w:val="20"/>
          <w:lang w:eastAsia="en-US"/>
        </w:rPr>
        <w:t>the absence of, or any uncertainty in, any information should not be used as a reason for postponing or failing to take any measure</w:t>
      </w:r>
      <w:r>
        <w:rPr>
          <w:szCs w:val="20"/>
          <w:lang w:eastAsia="en-US"/>
        </w:rPr>
        <w:t xml:space="preserve"> to achieve the purpose of the </w:t>
      </w:r>
      <w:r w:rsidRPr="00AA0251">
        <w:rPr>
          <w:szCs w:val="20"/>
          <w:lang w:eastAsia="en-US"/>
        </w:rPr>
        <w:t>Act.</w:t>
      </w:r>
    </w:p>
    <w:p w14:paraId="721A7C4E" w14:textId="77777777" w:rsidR="00AA0251" w:rsidRDefault="00AA0251" w:rsidP="00530BA3"/>
    <w:p w14:paraId="721A7C4F" w14:textId="77777777" w:rsidR="00BE4A25" w:rsidRPr="0050410A" w:rsidRDefault="001A7C45" w:rsidP="00530BA3">
      <w:pPr>
        <w:pStyle w:val="Heading3"/>
        <w:rPr>
          <w:sz w:val="28"/>
          <w:szCs w:val="28"/>
        </w:rPr>
      </w:pPr>
      <w:bookmarkStart w:id="58" w:name="_Toc436817176"/>
      <w:bookmarkStart w:id="59" w:name="_Toc436818025"/>
      <w:bookmarkStart w:id="60" w:name="_Toc453060477"/>
      <w:r w:rsidRPr="0050410A">
        <w:rPr>
          <w:sz w:val="28"/>
          <w:szCs w:val="28"/>
        </w:rPr>
        <w:lastRenderedPageBreak/>
        <w:t>Seabirds, m</w:t>
      </w:r>
      <w:r w:rsidR="00BE4A25" w:rsidRPr="0050410A">
        <w:rPr>
          <w:sz w:val="28"/>
          <w:szCs w:val="28"/>
        </w:rPr>
        <w:t>ammals, and protected fish</w:t>
      </w:r>
      <w:bookmarkEnd w:id="58"/>
      <w:bookmarkEnd w:id="59"/>
      <w:bookmarkEnd w:id="60"/>
      <w:r w:rsidR="00BE4A25" w:rsidRPr="0050410A">
        <w:rPr>
          <w:sz w:val="28"/>
          <w:szCs w:val="28"/>
        </w:rPr>
        <w:t xml:space="preserve"> </w:t>
      </w:r>
    </w:p>
    <w:p w14:paraId="721A7C50" w14:textId="77777777" w:rsidR="00AB6F1A" w:rsidRDefault="00C20D0F" w:rsidP="00203A35">
      <w:bookmarkStart w:id="61" w:name="_Toc436817177"/>
      <w:bookmarkStart w:id="62" w:name="_Toc436818026"/>
      <w:r>
        <w:t xml:space="preserve">There are </w:t>
      </w:r>
      <w:r w:rsidR="00AB6F1A">
        <w:t xml:space="preserve">no known </w:t>
      </w:r>
      <w:r w:rsidR="00964C4B">
        <w:t xml:space="preserve">marine </w:t>
      </w:r>
      <w:r w:rsidR="00AB6F1A">
        <w:t>mammal or protec</w:t>
      </w:r>
      <w:r w:rsidR="008B6A55">
        <w:t>ted fish interactions</w:t>
      </w:r>
      <w:r w:rsidR="00DA1956">
        <w:t xml:space="preserve"> in </w:t>
      </w:r>
      <w:r w:rsidR="00A54907">
        <w:t>SQU 1J</w:t>
      </w:r>
      <w:r w:rsidR="0063215D">
        <w:t>, however s</w:t>
      </w:r>
      <w:r w:rsidR="00AB6F1A">
        <w:t>eabirds are caught</w:t>
      </w:r>
      <w:r w:rsidR="0013703F">
        <w:t xml:space="preserve">. </w:t>
      </w:r>
      <w:r w:rsidR="00E50384" w:rsidRPr="00AA550D">
        <w:rPr>
          <w:lang w:val="en-GB"/>
        </w:rPr>
        <w:t>Management of seabird interactions with New Zealand’s commercial fisheries is driven through the 2013 National Plan of Action to Reduce the Incidental Captures of Seabirds</w:t>
      </w:r>
      <w:r w:rsidR="00E50384">
        <w:rPr>
          <w:lang w:val="en-GB"/>
        </w:rPr>
        <w:t xml:space="preserve"> in New Zealand fisheries (NPOA Seabirds). The NPOA Seabirds reflects New Zealand’s obligations under customary international law to take into account the effects of fishing on associated species such as seabirds.</w:t>
      </w:r>
      <w:r w:rsidR="00E50384">
        <w:t xml:space="preserve"> </w:t>
      </w:r>
      <w:r w:rsidR="0013703F">
        <w:t>O</w:t>
      </w:r>
      <w:r w:rsidR="008B6A55">
        <w:t xml:space="preserve">bserver coverage </w:t>
      </w:r>
      <w:r w:rsidR="00E50384">
        <w:t xml:space="preserve">in SQU 1J </w:t>
      </w:r>
      <w:r w:rsidR="008B6A55">
        <w:t xml:space="preserve">has </w:t>
      </w:r>
      <w:r w:rsidR="007965D9">
        <w:t xml:space="preserve">historically </w:t>
      </w:r>
      <w:r w:rsidR="008B6A55">
        <w:t>been low</w:t>
      </w:r>
      <w:r w:rsidR="00A54907">
        <w:t>, but</w:t>
      </w:r>
      <w:r w:rsidR="006C35CC">
        <w:t xml:space="preserve"> i</w:t>
      </w:r>
      <w:r w:rsidR="0063215D">
        <w:t>n the last two</w:t>
      </w:r>
      <w:r w:rsidR="008C261B" w:rsidRPr="008C261B">
        <w:t xml:space="preserve"> fishing year</w:t>
      </w:r>
      <w:r w:rsidR="006C35CC">
        <w:t>s</w:t>
      </w:r>
      <w:r w:rsidR="00AB6F1A">
        <w:t xml:space="preserve"> </w:t>
      </w:r>
      <w:r w:rsidR="006C35CC">
        <w:t>(</w:t>
      </w:r>
      <w:r w:rsidR="00AB6F1A">
        <w:t>2013/14 and 2014/</w:t>
      </w:r>
      <w:r w:rsidR="008C261B">
        <w:t>15</w:t>
      </w:r>
      <w:r w:rsidR="006C35CC">
        <w:t>)</w:t>
      </w:r>
      <w:r w:rsidR="008C261B">
        <w:t xml:space="preserve">, there </w:t>
      </w:r>
      <w:r w:rsidR="006C35CC">
        <w:t xml:space="preserve">was 100% observer coverage </w:t>
      </w:r>
      <w:r w:rsidR="008C261B" w:rsidRPr="008C261B">
        <w:t>on two Japanese squid jiggers.</w:t>
      </w:r>
      <w:r w:rsidR="008C261B">
        <w:t xml:space="preserve"> These data record </w:t>
      </w:r>
      <w:r w:rsidR="008C261B" w:rsidRPr="008C261B">
        <w:t>incidental captures of 32 seabirds</w:t>
      </w:r>
      <w:r w:rsidR="007965D9">
        <w:t xml:space="preserve">, </w:t>
      </w:r>
      <w:r w:rsidR="006C35CC">
        <w:t xml:space="preserve">the </w:t>
      </w:r>
      <w:r w:rsidR="007965D9">
        <w:t xml:space="preserve">majority </w:t>
      </w:r>
      <w:r w:rsidR="006C35CC">
        <w:t>of which were sooty shearwaters</w:t>
      </w:r>
      <w:r w:rsidR="006C35CC">
        <w:rPr>
          <w:rStyle w:val="FootnoteReference"/>
        </w:rPr>
        <w:footnoteReference w:id="2"/>
      </w:r>
      <w:r w:rsidR="008C261B" w:rsidRPr="008C261B">
        <w:t>.</w:t>
      </w:r>
      <w:r w:rsidR="00DC2D7E">
        <w:t xml:space="preserve"> </w:t>
      </w:r>
      <w:r w:rsidR="00DC2D7E" w:rsidRPr="00DC2D7E">
        <w:t xml:space="preserve">The risk from commercial fisheries to the New Zealand population of sooty shearwater was assessed </w:t>
      </w:r>
      <w:r w:rsidR="00DC2D7E">
        <w:t xml:space="preserve">in 2011 </w:t>
      </w:r>
      <w:r w:rsidR="00DC2D7E" w:rsidRPr="00DC2D7E">
        <w:t>as </w:t>
      </w:r>
      <w:hyperlink r:id="rId25" w:anchor="risk_categories" w:history="1">
        <w:r w:rsidR="00DC2D7E" w:rsidRPr="00DC2D7E">
          <w:t>negligible</w:t>
        </w:r>
      </w:hyperlink>
      <w:r w:rsidR="00DC2D7E" w:rsidRPr="00DC2D7E">
        <w:t>.</w:t>
      </w:r>
      <w:r w:rsidR="00DC2D7E">
        <w:rPr>
          <w:rStyle w:val="FootnoteReference"/>
        </w:rPr>
        <w:footnoteReference w:id="3"/>
      </w:r>
    </w:p>
    <w:p w14:paraId="721A7C51" w14:textId="77777777" w:rsidR="00EB3173" w:rsidRPr="008C261B" w:rsidRDefault="00EB3173" w:rsidP="00203A35"/>
    <w:p w14:paraId="721A7C52" w14:textId="77777777" w:rsidR="00BE4A25" w:rsidRPr="0050410A" w:rsidRDefault="00BE4A25" w:rsidP="00530BA3">
      <w:pPr>
        <w:pStyle w:val="Heading3"/>
        <w:rPr>
          <w:sz w:val="28"/>
          <w:szCs w:val="28"/>
        </w:rPr>
      </w:pPr>
      <w:bookmarkStart w:id="63" w:name="_Toc453060478"/>
      <w:r w:rsidRPr="0050410A">
        <w:rPr>
          <w:sz w:val="28"/>
          <w:szCs w:val="28"/>
        </w:rPr>
        <w:t>Benthic impacts</w:t>
      </w:r>
      <w:bookmarkEnd w:id="61"/>
      <w:bookmarkEnd w:id="62"/>
      <w:bookmarkEnd w:id="63"/>
      <w:r w:rsidRPr="0050410A">
        <w:rPr>
          <w:sz w:val="28"/>
          <w:szCs w:val="28"/>
        </w:rPr>
        <w:t xml:space="preserve"> </w:t>
      </w:r>
    </w:p>
    <w:p w14:paraId="721A7C53" w14:textId="77777777" w:rsidR="00A12AE1" w:rsidRDefault="00A12AE1" w:rsidP="00530BA3">
      <w:r>
        <w:t>There are no known benthic impacts from the squid jigging method.</w:t>
      </w:r>
    </w:p>
    <w:p w14:paraId="721A7C54" w14:textId="77777777" w:rsidR="00EB3173" w:rsidRPr="00A12AE1" w:rsidRDefault="00EB3173" w:rsidP="00530BA3"/>
    <w:p w14:paraId="721A7C55" w14:textId="77777777" w:rsidR="00710807" w:rsidRPr="006B434C" w:rsidRDefault="008C78BB" w:rsidP="00530BA3">
      <w:pPr>
        <w:pStyle w:val="Heading1"/>
      </w:pPr>
      <w:bookmarkStart w:id="64" w:name="_Toc436817016"/>
      <w:bookmarkStart w:id="65" w:name="_Toc436817178"/>
      <w:bookmarkStart w:id="66" w:name="_Toc453060479"/>
      <w:r w:rsidRPr="006B434C">
        <w:t xml:space="preserve">Proposed </w:t>
      </w:r>
      <w:bookmarkEnd w:id="64"/>
      <w:bookmarkEnd w:id="65"/>
      <w:r w:rsidR="00964C4B" w:rsidRPr="00530BA3">
        <w:t>Options</w:t>
      </w:r>
      <w:bookmarkEnd w:id="66"/>
    </w:p>
    <w:p w14:paraId="721A7C56" w14:textId="77777777" w:rsidR="009200AD" w:rsidRDefault="00FF7F43" w:rsidP="00530BA3">
      <w:bookmarkStart w:id="67" w:name="_Toc421169862"/>
      <w:r>
        <w:t xml:space="preserve">The TACC for </w:t>
      </w:r>
      <w:r w:rsidR="00A54907">
        <w:t>SQU 1J</w:t>
      </w:r>
      <w:r>
        <w:t xml:space="preserve"> has never been </w:t>
      </w:r>
      <w:r w:rsidR="009200AD">
        <w:t xml:space="preserve">fully </w:t>
      </w:r>
      <w:r>
        <w:t>caught (Figure 2) and is based on a historical level of effort that is unlikely to be repeated due to</w:t>
      </w:r>
      <w:r w:rsidR="00585FD7">
        <w:t xml:space="preserve"> the</w:t>
      </w:r>
      <w:r>
        <w:t xml:space="preserve"> re-flagging requirement </w:t>
      </w:r>
      <w:r w:rsidR="00585FD7">
        <w:t xml:space="preserve">which came into force on 1 May 2016. </w:t>
      </w:r>
      <w:r>
        <w:t>Maintaining the TACC at historic</w:t>
      </w:r>
      <w:r w:rsidR="00585FD7">
        <w:t>al levels may</w:t>
      </w:r>
      <w:r>
        <w:t xml:space="preserve"> not </w:t>
      </w:r>
      <w:r w:rsidR="00585FD7">
        <w:t xml:space="preserve">be appropriate in this context. </w:t>
      </w:r>
    </w:p>
    <w:p w14:paraId="721A7C57" w14:textId="77777777" w:rsidR="009200AD" w:rsidRDefault="009200AD" w:rsidP="00530BA3"/>
    <w:p w14:paraId="721A7C58" w14:textId="77777777" w:rsidR="006B434C" w:rsidRDefault="00585FD7" w:rsidP="00530BA3">
      <w:r>
        <w:t>The following three options are proposed for consideration</w:t>
      </w:r>
      <w:r w:rsidR="00733C01">
        <w:t xml:space="preserve"> (Table 2)</w:t>
      </w:r>
      <w:r>
        <w:t xml:space="preserve">. </w:t>
      </w:r>
      <w:r w:rsidR="00AB7F5E">
        <w:t>There has not been an</w:t>
      </w:r>
      <w:r w:rsidR="0013703F">
        <w:t xml:space="preserve"> allowance set for recreational, </w:t>
      </w:r>
      <w:r w:rsidR="0013703F" w:rsidRPr="00033C36">
        <w:t xml:space="preserve">customary </w:t>
      </w:r>
      <w:r w:rsidR="0013703F">
        <w:t>catch or other sources of fishing related mortality</w:t>
      </w:r>
      <w:r w:rsidR="00AB7F5E">
        <w:t xml:space="preserve"> under a TAC</w:t>
      </w:r>
      <w:r w:rsidR="0013703F">
        <w:t>. For all thre</w:t>
      </w:r>
      <w:r w:rsidR="00AB7F5E">
        <w:t>e options it is proposed to set</w:t>
      </w:r>
      <w:r w:rsidR="005B218D">
        <w:t xml:space="preserve"> </w:t>
      </w:r>
      <w:r w:rsidR="00AB7F5E">
        <w:t>r</w:t>
      </w:r>
      <w:r w:rsidR="0013703F">
        <w:t>ecreational</w:t>
      </w:r>
      <w:r w:rsidR="001F2E93">
        <w:t xml:space="preserve">, </w:t>
      </w:r>
      <w:r w:rsidR="005B218D">
        <w:t>M</w:t>
      </w:r>
      <w:r w:rsidR="005B218D" w:rsidRPr="00033C36">
        <w:t>āori</w:t>
      </w:r>
      <w:r w:rsidR="0013703F" w:rsidRPr="00033C36">
        <w:t xml:space="preserve"> customary allowance</w:t>
      </w:r>
      <w:r w:rsidR="0013703F">
        <w:t>s</w:t>
      </w:r>
      <w:r w:rsidR="0013703F" w:rsidRPr="00033C36">
        <w:t xml:space="preserve"> </w:t>
      </w:r>
      <w:r w:rsidR="001F2E93">
        <w:t xml:space="preserve">and other sources of fishing related mortality </w:t>
      </w:r>
      <w:r w:rsidR="00AB7F5E">
        <w:t>allowances at</w:t>
      </w:r>
      <w:r w:rsidR="0013703F" w:rsidRPr="00033C36">
        <w:t xml:space="preserve"> </w:t>
      </w:r>
      <w:r w:rsidR="001F2E93">
        <w:t>ten</w:t>
      </w:r>
      <w:r w:rsidR="0013703F" w:rsidRPr="00033C36">
        <w:t xml:space="preserve"> (</w:t>
      </w:r>
      <w:r w:rsidR="001F2E93">
        <w:t>1</w:t>
      </w:r>
      <w:r w:rsidR="0013703F" w:rsidRPr="00033C36">
        <w:t>0) tonnes</w:t>
      </w:r>
      <w:r w:rsidR="001F2E93">
        <w:t xml:space="preserve"> </w:t>
      </w:r>
      <w:r w:rsidR="00AB7F5E">
        <w:t>each for the first time under the TAC</w:t>
      </w:r>
      <w:r w:rsidR="0013703F">
        <w:t>.</w:t>
      </w:r>
      <w:r w:rsidR="005D26BE">
        <w:t xml:space="preserve"> </w:t>
      </w:r>
    </w:p>
    <w:p w14:paraId="721A7C59" w14:textId="77777777" w:rsidR="006B434C" w:rsidRDefault="006B434C" w:rsidP="00530BA3"/>
    <w:p w14:paraId="721A7C5A" w14:textId="77777777" w:rsidR="003A03A2" w:rsidRPr="0013703F" w:rsidRDefault="00733C01" w:rsidP="006B434C">
      <w:pPr>
        <w:pStyle w:val="TableMainTitle"/>
        <w:spacing w:line="276" w:lineRule="auto"/>
        <w:rPr>
          <w:sz w:val="22"/>
          <w:szCs w:val="22"/>
        </w:rPr>
      </w:pPr>
      <w:r>
        <w:rPr>
          <w:sz w:val="22"/>
          <w:szCs w:val="22"/>
        </w:rPr>
        <w:t>Table 2</w:t>
      </w:r>
      <w:r w:rsidR="008C78BB" w:rsidRPr="0013703F">
        <w:rPr>
          <w:sz w:val="22"/>
          <w:szCs w:val="22"/>
        </w:rPr>
        <w:t xml:space="preserve">: Proposed </w:t>
      </w:r>
      <w:r w:rsidR="00A54907">
        <w:rPr>
          <w:sz w:val="22"/>
          <w:szCs w:val="22"/>
        </w:rPr>
        <w:t>management s</w:t>
      </w:r>
      <w:r w:rsidR="00A54907" w:rsidRPr="002466BA">
        <w:rPr>
          <w:sz w:val="22"/>
          <w:szCs w:val="22"/>
        </w:rPr>
        <w:t xml:space="preserve">ettings for </w:t>
      </w:r>
      <w:r w:rsidR="00A54907">
        <w:rPr>
          <w:sz w:val="22"/>
          <w:szCs w:val="22"/>
        </w:rPr>
        <w:t>SQU 1J (all values in tonnes)</w:t>
      </w:r>
    </w:p>
    <w:tbl>
      <w:tblPr>
        <w:tblW w:w="0" w:type="auto"/>
        <w:tblLayout w:type="fixed"/>
        <w:tblLook w:val="01E0" w:firstRow="1" w:lastRow="1" w:firstColumn="1" w:lastColumn="1" w:noHBand="0" w:noVBand="0"/>
      </w:tblPr>
      <w:tblGrid>
        <w:gridCol w:w="1985"/>
        <w:gridCol w:w="1134"/>
        <w:gridCol w:w="1559"/>
        <w:gridCol w:w="1134"/>
        <w:gridCol w:w="1263"/>
        <w:gridCol w:w="1581"/>
      </w:tblGrid>
      <w:tr w:rsidR="00DD1944" w:rsidRPr="00442C2B" w14:paraId="721A7C5F" w14:textId="77777777" w:rsidTr="00056320">
        <w:tc>
          <w:tcPr>
            <w:tcW w:w="1985" w:type="dxa"/>
            <w:vMerge w:val="restart"/>
            <w:tcBorders>
              <w:top w:val="single" w:sz="4" w:space="0" w:color="auto"/>
            </w:tcBorders>
            <w:vAlign w:val="bottom"/>
          </w:tcPr>
          <w:p w14:paraId="721A7C5B" w14:textId="77777777" w:rsidR="00DD1944" w:rsidRPr="00442C2B" w:rsidRDefault="00DD1944" w:rsidP="00056320">
            <w:pPr>
              <w:pStyle w:val="TableColumnHeadings"/>
            </w:pPr>
            <w:r w:rsidRPr="00442C2B">
              <w:t>Option</w:t>
            </w:r>
          </w:p>
        </w:tc>
        <w:tc>
          <w:tcPr>
            <w:tcW w:w="1134" w:type="dxa"/>
            <w:vMerge w:val="restart"/>
            <w:tcBorders>
              <w:top w:val="single" w:sz="4" w:space="0" w:color="auto"/>
            </w:tcBorders>
            <w:vAlign w:val="bottom"/>
          </w:tcPr>
          <w:p w14:paraId="721A7C5C" w14:textId="77777777" w:rsidR="00DD1944" w:rsidRPr="00442C2B" w:rsidRDefault="00DD1944" w:rsidP="00056320">
            <w:pPr>
              <w:pStyle w:val="TableColumnHeadingscentred"/>
            </w:pPr>
            <w:r>
              <w:t>Total Allowable Catch</w:t>
            </w:r>
          </w:p>
        </w:tc>
        <w:tc>
          <w:tcPr>
            <w:tcW w:w="1559" w:type="dxa"/>
            <w:vMerge w:val="restart"/>
            <w:tcBorders>
              <w:top w:val="single" w:sz="4" w:space="0" w:color="auto"/>
              <w:right w:val="single" w:sz="4" w:space="0" w:color="auto"/>
            </w:tcBorders>
            <w:vAlign w:val="bottom"/>
          </w:tcPr>
          <w:p w14:paraId="721A7C5D" w14:textId="77777777" w:rsidR="00DD1944" w:rsidRPr="00442C2B" w:rsidRDefault="00DD1944" w:rsidP="00056320">
            <w:pPr>
              <w:pStyle w:val="TableColumnHeadingscentred"/>
            </w:pPr>
            <w:r w:rsidRPr="00442C2B">
              <w:t>Total Allowable Commercial</w:t>
            </w:r>
            <w:r>
              <w:t xml:space="preserve"> Catch</w:t>
            </w:r>
          </w:p>
        </w:tc>
        <w:tc>
          <w:tcPr>
            <w:tcW w:w="3978" w:type="dxa"/>
            <w:gridSpan w:val="3"/>
            <w:tcBorders>
              <w:top w:val="single" w:sz="4" w:space="0" w:color="auto"/>
              <w:left w:val="single" w:sz="4" w:space="0" w:color="auto"/>
              <w:bottom w:val="single" w:sz="4" w:space="0" w:color="auto"/>
            </w:tcBorders>
          </w:tcPr>
          <w:p w14:paraId="721A7C5E" w14:textId="77777777" w:rsidR="00DD1944" w:rsidRPr="00442C2B" w:rsidRDefault="00DD1944" w:rsidP="00056320">
            <w:pPr>
              <w:pStyle w:val="TableColumnHeadingscentred"/>
            </w:pPr>
            <w:r w:rsidRPr="00442C2B">
              <w:t>Allowances</w:t>
            </w:r>
          </w:p>
        </w:tc>
      </w:tr>
      <w:tr w:rsidR="00DD1944" w:rsidRPr="00442C2B" w14:paraId="721A7C66" w14:textId="77777777" w:rsidTr="00DD1944">
        <w:tc>
          <w:tcPr>
            <w:tcW w:w="1985" w:type="dxa"/>
            <w:vMerge/>
            <w:tcBorders>
              <w:bottom w:val="single" w:sz="4" w:space="0" w:color="auto"/>
            </w:tcBorders>
          </w:tcPr>
          <w:p w14:paraId="721A7C60" w14:textId="77777777" w:rsidR="00DD1944" w:rsidRPr="00442C2B" w:rsidRDefault="00DD1944" w:rsidP="00056320">
            <w:pPr>
              <w:pStyle w:val="TableColumnHeadings"/>
            </w:pPr>
          </w:p>
        </w:tc>
        <w:tc>
          <w:tcPr>
            <w:tcW w:w="1134" w:type="dxa"/>
            <w:vMerge/>
            <w:tcBorders>
              <w:bottom w:val="single" w:sz="4" w:space="0" w:color="auto"/>
            </w:tcBorders>
          </w:tcPr>
          <w:p w14:paraId="721A7C61" w14:textId="77777777" w:rsidR="00DD1944" w:rsidRPr="00442C2B" w:rsidRDefault="00DD1944" w:rsidP="00056320">
            <w:pPr>
              <w:pStyle w:val="TableColumnHeadingscentred"/>
            </w:pPr>
          </w:p>
        </w:tc>
        <w:tc>
          <w:tcPr>
            <w:tcW w:w="1559" w:type="dxa"/>
            <w:vMerge/>
            <w:tcBorders>
              <w:bottom w:val="single" w:sz="4" w:space="0" w:color="auto"/>
            </w:tcBorders>
          </w:tcPr>
          <w:p w14:paraId="721A7C62" w14:textId="77777777" w:rsidR="00DD1944" w:rsidRPr="00442C2B" w:rsidRDefault="00DD1944" w:rsidP="00056320">
            <w:pPr>
              <w:pStyle w:val="TableColumnHeadingscentred"/>
            </w:pPr>
          </w:p>
        </w:tc>
        <w:tc>
          <w:tcPr>
            <w:tcW w:w="1134" w:type="dxa"/>
            <w:tcBorders>
              <w:top w:val="single" w:sz="4" w:space="0" w:color="auto"/>
              <w:bottom w:val="single" w:sz="4" w:space="0" w:color="auto"/>
            </w:tcBorders>
            <w:vAlign w:val="bottom"/>
          </w:tcPr>
          <w:p w14:paraId="721A7C63" w14:textId="77777777" w:rsidR="00DD1944" w:rsidRPr="00442C2B" w:rsidRDefault="00DD1944" w:rsidP="00D36217">
            <w:pPr>
              <w:pStyle w:val="TableColumnHeadingscentred"/>
              <w:jc w:val="right"/>
            </w:pPr>
            <w:r>
              <w:t>Customary Māori</w:t>
            </w:r>
          </w:p>
        </w:tc>
        <w:tc>
          <w:tcPr>
            <w:tcW w:w="1263" w:type="dxa"/>
            <w:tcBorders>
              <w:top w:val="single" w:sz="4" w:space="0" w:color="auto"/>
              <w:bottom w:val="single" w:sz="4" w:space="0" w:color="auto"/>
            </w:tcBorders>
            <w:vAlign w:val="bottom"/>
          </w:tcPr>
          <w:p w14:paraId="721A7C64" w14:textId="77777777" w:rsidR="00DD1944" w:rsidRPr="00442C2B" w:rsidRDefault="00DD1944" w:rsidP="00D36217">
            <w:pPr>
              <w:pStyle w:val="TableColumnHeadingscentred"/>
              <w:jc w:val="right"/>
            </w:pPr>
            <w:r w:rsidRPr="00442C2B">
              <w:t>Recreational</w:t>
            </w:r>
          </w:p>
        </w:tc>
        <w:tc>
          <w:tcPr>
            <w:tcW w:w="1581" w:type="dxa"/>
            <w:tcBorders>
              <w:top w:val="single" w:sz="4" w:space="0" w:color="auto"/>
              <w:bottom w:val="single" w:sz="4" w:space="0" w:color="auto"/>
            </w:tcBorders>
            <w:vAlign w:val="bottom"/>
          </w:tcPr>
          <w:p w14:paraId="721A7C65" w14:textId="77777777" w:rsidR="00DD1944" w:rsidRPr="00442C2B" w:rsidRDefault="00DD1944" w:rsidP="00D36217">
            <w:pPr>
              <w:pStyle w:val="TableColumnHeadingscentred"/>
              <w:jc w:val="right"/>
            </w:pPr>
            <w:r w:rsidRPr="00442C2B">
              <w:t>Other sources of fishing-related mortality</w:t>
            </w:r>
          </w:p>
        </w:tc>
      </w:tr>
      <w:tr w:rsidR="00DD1944" w:rsidRPr="00442C2B" w14:paraId="721A7C6D" w14:textId="77777777" w:rsidTr="00DD1944">
        <w:trPr>
          <w:trHeight w:val="57"/>
        </w:trPr>
        <w:tc>
          <w:tcPr>
            <w:tcW w:w="1985" w:type="dxa"/>
            <w:tcBorders>
              <w:top w:val="single" w:sz="4" w:space="0" w:color="auto"/>
            </w:tcBorders>
          </w:tcPr>
          <w:p w14:paraId="721A7C67" w14:textId="77777777" w:rsidR="00DD1944" w:rsidRPr="00442C2B" w:rsidRDefault="00DD1944" w:rsidP="00056320">
            <w:pPr>
              <w:pStyle w:val="TableColumnHeadings"/>
            </w:pPr>
            <w:r w:rsidRPr="00442C2B">
              <w:t>Option 1</w:t>
            </w:r>
            <w:r>
              <w:t xml:space="preserve">  </w:t>
            </w:r>
            <w:r w:rsidRPr="00DC5DD8">
              <w:rPr>
                <w:b w:val="0"/>
                <w:i/>
              </w:rPr>
              <w:t>(Status quo)</w:t>
            </w:r>
          </w:p>
        </w:tc>
        <w:tc>
          <w:tcPr>
            <w:tcW w:w="1134" w:type="dxa"/>
            <w:tcBorders>
              <w:top w:val="single" w:sz="4" w:space="0" w:color="auto"/>
            </w:tcBorders>
          </w:tcPr>
          <w:p w14:paraId="721A7C68" w14:textId="77777777" w:rsidR="00DD1944" w:rsidRPr="00530BA3" w:rsidRDefault="00DD1944" w:rsidP="00056320">
            <w:pPr>
              <w:pStyle w:val="TableColumnHeadings"/>
              <w:jc w:val="center"/>
              <w:rPr>
                <w:b w:val="0"/>
              </w:rPr>
            </w:pPr>
            <w:r w:rsidRPr="00530BA3">
              <w:rPr>
                <w:b w:val="0"/>
              </w:rPr>
              <w:t>50,2</w:t>
            </w:r>
            <w:r>
              <w:rPr>
                <w:b w:val="0"/>
              </w:rPr>
              <w:t>42</w:t>
            </w:r>
          </w:p>
        </w:tc>
        <w:tc>
          <w:tcPr>
            <w:tcW w:w="1559" w:type="dxa"/>
            <w:tcBorders>
              <w:top w:val="single" w:sz="4" w:space="0" w:color="auto"/>
            </w:tcBorders>
          </w:tcPr>
          <w:p w14:paraId="721A7C69" w14:textId="77777777" w:rsidR="00DD1944" w:rsidRPr="00530BA3" w:rsidRDefault="00DD1944" w:rsidP="00056320">
            <w:pPr>
              <w:pStyle w:val="TableColumnHeadings"/>
              <w:jc w:val="center"/>
              <w:rPr>
                <w:b w:val="0"/>
              </w:rPr>
            </w:pPr>
            <w:r>
              <w:rPr>
                <w:b w:val="0"/>
              </w:rPr>
              <w:t>50,212</w:t>
            </w:r>
          </w:p>
        </w:tc>
        <w:tc>
          <w:tcPr>
            <w:tcW w:w="1134" w:type="dxa"/>
            <w:tcBorders>
              <w:top w:val="single" w:sz="4" w:space="0" w:color="auto"/>
            </w:tcBorders>
          </w:tcPr>
          <w:p w14:paraId="721A7C6A" w14:textId="77777777" w:rsidR="00DD1944" w:rsidRPr="00530BA3" w:rsidRDefault="00DD1944" w:rsidP="00D36217">
            <w:pPr>
              <w:pStyle w:val="TableColumnHeadings"/>
              <w:jc w:val="right"/>
              <w:rPr>
                <w:b w:val="0"/>
              </w:rPr>
            </w:pPr>
            <w:r>
              <w:rPr>
                <w:b w:val="0"/>
              </w:rPr>
              <w:t>10</w:t>
            </w:r>
          </w:p>
        </w:tc>
        <w:tc>
          <w:tcPr>
            <w:tcW w:w="1263" w:type="dxa"/>
            <w:tcBorders>
              <w:top w:val="single" w:sz="4" w:space="0" w:color="auto"/>
            </w:tcBorders>
          </w:tcPr>
          <w:p w14:paraId="721A7C6B" w14:textId="77777777" w:rsidR="00DD1944" w:rsidRPr="00530BA3" w:rsidRDefault="00DD1944" w:rsidP="00D36217">
            <w:pPr>
              <w:pStyle w:val="TableColumnHeadings"/>
              <w:jc w:val="right"/>
              <w:rPr>
                <w:b w:val="0"/>
              </w:rPr>
            </w:pPr>
            <w:r>
              <w:rPr>
                <w:b w:val="0"/>
              </w:rPr>
              <w:t>10</w:t>
            </w:r>
          </w:p>
        </w:tc>
        <w:tc>
          <w:tcPr>
            <w:tcW w:w="1581" w:type="dxa"/>
            <w:tcBorders>
              <w:top w:val="single" w:sz="4" w:space="0" w:color="auto"/>
            </w:tcBorders>
          </w:tcPr>
          <w:p w14:paraId="721A7C6C" w14:textId="77777777" w:rsidR="00DD1944" w:rsidRPr="00530BA3" w:rsidRDefault="00DD1944" w:rsidP="00D36217">
            <w:pPr>
              <w:pStyle w:val="TableColumnHeadings"/>
              <w:jc w:val="right"/>
              <w:rPr>
                <w:b w:val="0"/>
              </w:rPr>
            </w:pPr>
            <w:r w:rsidRPr="00530BA3">
              <w:rPr>
                <w:b w:val="0"/>
              </w:rPr>
              <w:t>10</w:t>
            </w:r>
          </w:p>
        </w:tc>
      </w:tr>
      <w:tr w:rsidR="00DD1944" w:rsidRPr="00442C2B" w14:paraId="721A7C74" w14:textId="77777777" w:rsidTr="00DD1944">
        <w:trPr>
          <w:trHeight w:val="57"/>
        </w:trPr>
        <w:tc>
          <w:tcPr>
            <w:tcW w:w="1985" w:type="dxa"/>
          </w:tcPr>
          <w:p w14:paraId="721A7C6E" w14:textId="77777777" w:rsidR="00DD1944" w:rsidRPr="00442C2B" w:rsidRDefault="00DD1944" w:rsidP="00056320">
            <w:pPr>
              <w:pStyle w:val="TableColumnHeadings"/>
            </w:pPr>
            <w:r w:rsidRPr="00442C2B">
              <w:t>Option 2</w:t>
            </w:r>
          </w:p>
        </w:tc>
        <w:tc>
          <w:tcPr>
            <w:tcW w:w="1134" w:type="dxa"/>
          </w:tcPr>
          <w:p w14:paraId="721A7C6F" w14:textId="77777777" w:rsidR="00DD1944" w:rsidRPr="00530BA3" w:rsidRDefault="00DD1944" w:rsidP="00056320">
            <w:pPr>
              <w:pStyle w:val="TableColumnHeadings"/>
              <w:jc w:val="center"/>
              <w:rPr>
                <w:b w:val="0"/>
              </w:rPr>
            </w:pPr>
            <w:r w:rsidRPr="00530BA3">
              <w:rPr>
                <w:b w:val="0"/>
              </w:rPr>
              <w:t>10,0</w:t>
            </w:r>
            <w:r>
              <w:rPr>
                <w:b w:val="0"/>
              </w:rPr>
              <w:t>3</w:t>
            </w:r>
            <w:r w:rsidRPr="00530BA3">
              <w:rPr>
                <w:b w:val="0"/>
              </w:rPr>
              <w:t>0</w:t>
            </w:r>
          </w:p>
        </w:tc>
        <w:tc>
          <w:tcPr>
            <w:tcW w:w="1559" w:type="dxa"/>
          </w:tcPr>
          <w:p w14:paraId="721A7C70" w14:textId="77777777" w:rsidR="00DD1944" w:rsidRPr="00530BA3" w:rsidRDefault="00DD1944" w:rsidP="00056320">
            <w:pPr>
              <w:pStyle w:val="TableColumnHeadings"/>
              <w:jc w:val="center"/>
              <w:rPr>
                <w:b w:val="0"/>
              </w:rPr>
            </w:pPr>
            <w:r w:rsidRPr="00530BA3">
              <w:rPr>
                <w:b w:val="0"/>
              </w:rPr>
              <w:t>10,000</w:t>
            </w:r>
          </w:p>
        </w:tc>
        <w:tc>
          <w:tcPr>
            <w:tcW w:w="1134" w:type="dxa"/>
          </w:tcPr>
          <w:p w14:paraId="721A7C71" w14:textId="77777777" w:rsidR="00DD1944" w:rsidRPr="00530BA3" w:rsidRDefault="00DD1944" w:rsidP="00D36217">
            <w:pPr>
              <w:pStyle w:val="TableColumnHeadings"/>
              <w:jc w:val="right"/>
              <w:rPr>
                <w:b w:val="0"/>
              </w:rPr>
            </w:pPr>
            <w:r>
              <w:rPr>
                <w:b w:val="0"/>
              </w:rPr>
              <w:t>10</w:t>
            </w:r>
          </w:p>
        </w:tc>
        <w:tc>
          <w:tcPr>
            <w:tcW w:w="1263" w:type="dxa"/>
          </w:tcPr>
          <w:p w14:paraId="721A7C72" w14:textId="77777777" w:rsidR="00DD1944" w:rsidRPr="00530BA3" w:rsidRDefault="00DD1944" w:rsidP="00D36217">
            <w:pPr>
              <w:pStyle w:val="TableColumnHeadings"/>
              <w:jc w:val="right"/>
              <w:rPr>
                <w:b w:val="0"/>
              </w:rPr>
            </w:pPr>
            <w:r>
              <w:rPr>
                <w:b w:val="0"/>
              </w:rPr>
              <w:t>10</w:t>
            </w:r>
          </w:p>
        </w:tc>
        <w:tc>
          <w:tcPr>
            <w:tcW w:w="1581" w:type="dxa"/>
          </w:tcPr>
          <w:p w14:paraId="721A7C73" w14:textId="77777777" w:rsidR="00DD1944" w:rsidRPr="00530BA3" w:rsidRDefault="00DD1944" w:rsidP="00D36217">
            <w:pPr>
              <w:pStyle w:val="TableColumnHeadings"/>
              <w:jc w:val="right"/>
              <w:rPr>
                <w:b w:val="0"/>
              </w:rPr>
            </w:pPr>
            <w:r w:rsidRPr="00530BA3">
              <w:rPr>
                <w:b w:val="0"/>
              </w:rPr>
              <w:t>10</w:t>
            </w:r>
          </w:p>
        </w:tc>
      </w:tr>
      <w:tr w:rsidR="00DD1944" w:rsidRPr="00442C2B" w14:paraId="721A7C7B" w14:textId="77777777" w:rsidTr="00DD1944">
        <w:trPr>
          <w:trHeight w:val="57"/>
        </w:trPr>
        <w:tc>
          <w:tcPr>
            <w:tcW w:w="1985" w:type="dxa"/>
            <w:tcBorders>
              <w:bottom w:val="single" w:sz="4" w:space="0" w:color="auto"/>
            </w:tcBorders>
          </w:tcPr>
          <w:p w14:paraId="721A7C75" w14:textId="77777777" w:rsidR="00DD1944" w:rsidRPr="00442C2B" w:rsidRDefault="00DD1944" w:rsidP="00056320">
            <w:pPr>
              <w:pStyle w:val="TableColumnHeadings"/>
            </w:pPr>
            <w:r w:rsidRPr="00442C2B">
              <w:t>Option 3</w:t>
            </w:r>
          </w:p>
        </w:tc>
        <w:tc>
          <w:tcPr>
            <w:tcW w:w="1134" w:type="dxa"/>
            <w:tcBorders>
              <w:bottom w:val="single" w:sz="4" w:space="0" w:color="auto"/>
            </w:tcBorders>
          </w:tcPr>
          <w:p w14:paraId="721A7C76" w14:textId="77777777" w:rsidR="00DD1944" w:rsidRPr="00530BA3" w:rsidRDefault="00DD1944" w:rsidP="00056320">
            <w:pPr>
              <w:pStyle w:val="TableColumnHeadings"/>
              <w:jc w:val="center"/>
              <w:rPr>
                <w:b w:val="0"/>
              </w:rPr>
            </w:pPr>
            <w:r w:rsidRPr="00530BA3">
              <w:rPr>
                <w:b w:val="0"/>
              </w:rPr>
              <w:t>5,0</w:t>
            </w:r>
            <w:r>
              <w:rPr>
                <w:b w:val="0"/>
              </w:rPr>
              <w:t>3</w:t>
            </w:r>
            <w:r w:rsidRPr="00530BA3">
              <w:rPr>
                <w:b w:val="0"/>
              </w:rPr>
              <w:t>0</w:t>
            </w:r>
          </w:p>
        </w:tc>
        <w:tc>
          <w:tcPr>
            <w:tcW w:w="1559" w:type="dxa"/>
            <w:tcBorders>
              <w:bottom w:val="single" w:sz="4" w:space="0" w:color="auto"/>
            </w:tcBorders>
          </w:tcPr>
          <w:p w14:paraId="721A7C77" w14:textId="77777777" w:rsidR="00DD1944" w:rsidRPr="00530BA3" w:rsidRDefault="00DD1944" w:rsidP="00056320">
            <w:pPr>
              <w:pStyle w:val="TableColumnHeadings"/>
              <w:jc w:val="center"/>
              <w:rPr>
                <w:b w:val="0"/>
              </w:rPr>
            </w:pPr>
            <w:r w:rsidRPr="00530BA3">
              <w:rPr>
                <w:b w:val="0"/>
              </w:rPr>
              <w:t>5,000</w:t>
            </w:r>
          </w:p>
        </w:tc>
        <w:tc>
          <w:tcPr>
            <w:tcW w:w="1134" w:type="dxa"/>
            <w:tcBorders>
              <w:bottom w:val="single" w:sz="4" w:space="0" w:color="auto"/>
            </w:tcBorders>
          </w:tcPr>
          <w:p w14:paraId="721A7C78" w14:textId="77777777" w:rsidR="00DD1944" w:rsidRPr="00530BA3" w:rsidRDefault="00DD1944" w:rsidP="00D36217">
            <w:pPr>
              <w:pStyle w:val="TableColumnHeadings"/>
              <w:jc w:val="right"/>
              <w:rPr>
                <w:b w:val="0"/>
              </w:rPr>
            </w:pPr>
            <w:r>
              <w:rPr>
                <w:b w:val="0"/>
              </w:rPr>
              <w:t>10</w:t>
            </w:r>
          </w:p>
        </w:tc>
        <w:tc>
          <w:tcPr>
            <w:tcW w:w="1263" w:type="dxa"/>
            <w:tcBorders>
              <w:bottom w:val="single" w:sz="4" w:space="0" w:color="auto"/>
            </w:tcBorders>
          </w:tcPr>
          <w:p w14:paraId="721A7C79" w14:textId="77777777" w:rsidR="00DD1944" w:rsidRPr="00530BA3" w:rsidRDefault="00DD1944" w:rsidP="00D36217">
            <w:pPr>
              <w:pStyle w:val="TableColumnHeadings"/>
              <w:jc w:val="right"/>
              <w:rPr>
                <w:b w:val="0"/>
              </w:rPr>
            </w:pPr>
            <w:r>
              <w:rPr>
                <w:b w:val="0"/>
              </w:rPr>
              <w:t>10</w:t>
            </w:r>
          </w:p>
        </w:tc>
        <w:tc>
          <w:tcPr>
            <w:tcW w:w="1581" w:type="dxa"/>
            <w:tcBorders>
              <w:bottom w:val="single" w:sz="4" w:space="0" w:color="auto"/>
            </w:tcBorders>
          </w:tcPr>
          <w:p w14:paraId="721A7C7A" w14:textId="77777777" w:rsidR="00DD1944" w:rsidRPr="00530BA3" w:rsidRDefault="00DD1944" w:rsidP="00D36217">
            <w:pPr>
              <w:pStyle w:val="TableColumnHeadings"/>
              <w:jc w:val="right"/>
              <w:rPr>
                <w:b w:val="0"/>
              </w:rPr>
            </w:pPr>
            <w:r w:rsidRPr="00530BA3">
              <w:rPr>
                <w:b w:val="0"/>
              </w:rPr>
              <w:t>10</w:t>
            </w:r>
          </w:p>
        </w:tc>
      </w:tr>
    </w:tbl>
    <w:p w14:paraId="721A7C7C" w14:textId="77777777" w:rsidR="003A03A2" w:rsidRDefault="003A03A2" w:rsidP="006B434C">
      <w:pPr>
        <w:pStyle w:val="TableMainTitle"/>
        <w:spacing w:line="276" w:lineRule="auto"/>
      </w:pPr>
    </w:p>
    <w:p w14:paraId="721A7C7D" w14:textId="77777777" w:rsidR="00710807" w:rsidRPr="00530BA3" w:rsidRDefault="0055294B" w:rsidP="00530BA3">
      <w:pPr>
        <w:pStyle w:val="Heading2"/>
      </w:pPr>
      <w:bookmarkStart w:id="68" w:name="_Toc436817180"/>
      <w:bookmarkStart w:id="69" w:name="_Toc453060480"/>
      <w:r w:rsidRPr="00530BA3">
        <w:t>Option</w:t>
      </w:r>
      <w:r w:rsidR="00710807" w:rsidRPr="00530BA3">
        <w:t xml:space="preserve"> 1</w:t>
      </w:r>
      <w:bookmarkEnd w:id="67"/>
      <w:bookmarkEnd w:id="68"/>
      <w:bookmarkEnd w:id="69"/>
    </w:p>
    <w:p w14:paraId="721A7C7E" w14:textId="77777777" w:rsidR="00302B5C" w:rsidRDefault="00255FC3" w:rsidP="00530BA3">
      <w:r w:rsidRPr="00F30C3B">
        <w:rPr>
          <w:rFonts w:eastAsia="Calibri"/>
          <w:szCs w:val="24"/>
        </w:rPr>
        <w:t xml:space="preserve">Under Option 1, the </w:t>
      </w:r>
      <w:r w:rsidR="00F67CB5">
        <w:rPr>
          <w:rFonts w:eastAsia="Calibri"/>
          <w:szCs w:val="24"/>
        </w:rPr>
        <w:t xml:space="preserve">TAC would be set at 50,242 tonnes and </w:t>
      </w:r>
      <w:r w:rsidR="00F67CB5">
        <w:t xml:space="preserve">the </w:t>
      </w:r>
      <w:r w:rsidR="002D75B5">
        <w:t>recreational, M</w:t>
      </w:r>
      <w:r w:rsidR="002D75B5" w:rsidRPr="00033C36">
        <w:t>āori customary allowance</w:t>
      </w:r>
      <w:r w:rsidR="002D75B5">
        <w:t>s</w:t>
      </w:r>
      <w:r w:rsidR="002D75B5" w:rsidRPr="00033C36">
        <w:t xml:space="preserve"> </w:t>
      </w:r>
      <w:r w:rsidR="002D75B5">
        <w:t xml:space="preserve">and other sources of fishing related mortality allowances </w:t>
      </w:r>
      <w:r w:rsidR="00F67CB5">
        <w:t xml:space="preserve">would be set </w:t>
      </w:r>
      <w:r w:rsidR="002D75B5">
        <w:t>at</w:t>
      </w:r>
      <w:r w:rsidR="002D75B5" w:rsidRPr="00033C36">
        <w:t xml:space="preserve"> </w:t>
      </w:r>
      <w:r w:rsidR="002D75B5">
        <w:t>ten</w:t>
      </w:r>
      <w:r w:rsidR="002D75B5" w:rsidRPr="00033C36">
        <w:t xml:space="preserve"> (</w:t>
      </w:r>
      <w:r w:rsidR="002D75B5">
        <w:t>1</w:t>
      </w:r>
      <w:r w:rsidR="002D75B5" w:rsidRPr="00033C36">
        <w:t>0) tonnes</w:t>
      </w:r>
      <w:r w:rsidR="002D75B5">
        <w:t xml:space="preserve"> each. </w:t>
      </w:r>
      <w:bookmarkStart w:id="70" w:name="_Toc436817181"/>
      <w:r w:rsidR="00F67CB5">
        <w:t xml:space="preserve">The </w:t>
      </w:r>
      <w:r w:rsidR="00F67CB5" w:rsidRPr="00F30C3B">
        <w:rPr>
          <w:rFonts w:eastAsia="Calibri"/>
          <w:szCs w:val="24"/>
        </w:rPr>
        <w:t>existing TAC</w:t>
      </w:r>
      <w:r w:rsidR="00F67CB5">
        <w:rPr>
          <w:rFonts w:eastAsia="Calibri"/>
          <w:szCs w:val="24"/>
        </w:rPr>
        <w:t>C</w:t>
      </w:r>
      <w:r w:rsidR="00F67CB5" w:rsidRPr="00F30C3B">
        <w:rPr>
          <w:rFonts w:eastAsia="Calibri"/>
          <w:szCs w:val="24"/>
        </w:rPr>
        <w:t xml:space="preserve"> would be retained</w:t>
      </w:r>
      <w:r w:rsidR="00F67CB5">
        <w:t xml:space="preserve"> (status quo).</w:t>
      </w:r>
    </w:p>
    <w:p w14:paraId="721A7C7F" w14:textId="77777777" w:rsidR="00302B5C" w:rsidRDefault="00302B5C" w:rsidP="00530BA3">
      <w:pPr>
        <w:rPr>
          <w:szCs w:val="24"/>
        </w:rPr>
      </w:pPr>
    </w:p>
    <w:p w14:paraId="721A7C80" w14:textId="77777777" w:rsidR="008374F8" w:rsidRPr="00287180" w:rsidRDefault="0055294B" w:rsidP="00530BA3">
      <w:pPr>
        <w:pStyle w:val="Heading2"/>
      </w:pPr>
      <w:bookmarkStart w:id="71" w:name="_Toc453060481"/>
      <w:r w:rsidRPr="00287180">
        <w:lastRenderedPageBreak/>
        <w:t>Option</w:t>
      </w:r>
      <w:r w:rsidR="008374F8" w:rsidRPr="00287180">
        <w:t xml:space="preserve"> </w:t>
      </w:r>
      <w:r w:rsidR="00E629E2" w:rsidRPr="00287180">
        <w:t>2</w:t>
      </w:r>
      <w:bookmarkEnd w:id="70"/>
      <w:bookmarkEnd w:id="71"/>
    </w:p>
    <w:p w14:paraId="721A7C81" w14:textId="77777777" w:rsidR="00302B5C" w:rsidRDefault="00255FC3" w:rsidP="00203A35">
      <w:r>
        <w:t xml:space="preserve">Option 2 </w:t>
      </w:r>
      <w:r w:rsidR="009714B5">
        <w:t xml:space="preserve">involves an </w:t>
      </w:r>
      <w:r w:rsidR="005316A5">
        <w:t xml:space="preserve">approximately </w:t>
      </w:r>
      <w:r w:rsidR="00782F4C">
        <w:t xml:space="preserve">80% decrease in the TACC to </w:t>
      </w:r>
      <w:r w:rsidR="00841221">
        <w:t>10,000</w:t>
      </w:r>
      <w:r w:rsidR="00B57551">
        <w:t xml:space="preserve"> tonnes</w:t>
      </w:r>
      <w:r w:rsidR="00782F4C">
        <w:t xml:space="preserve">. </w:t>
      </w:r>
      <w:r w:rsidR="0063215D">
        <w:t>I</w:t>
      </w:r>
      <w:r w:rsidR="0063215D" w:rsidRPr="00AA7AF4">
        <w:t xml:space="preserve">t </w:t>
      </w:r>
      <w:r w:rsidR="0063215D">
        <w:t>has been</w:t>
      </w:r>
      <w:r w:rsidR="0063215D" w:rsidRPr="00AA7AF4">
        <w:t xml:space="preserve"> </w:t>
      </w:r>
      <w:r w:rsidR="0063215D">
        <w:t xml:space="preserve">11 </w:t>
      </w:r>
      <w:r w:rsidR="0063215D" w:rsidRPr="00AA7AF4">
        <w:t xml:space="preserve">years since </w:t>
      </w:r>
      <w:r w:rsidR="0063215D">
        <w:t xml:space="preserve">this level of catch occurred in SQU 1J. Effort was much higher in 2004/05 </w:t>
      </w:r>
      <w:r w:rsidR="006B434C">
        <w:t>when</w:t>
      </w:r>
      <w:r w:rsidR="0063215D">
        <w:t xml:space="preserve"> 20 jiggi</w:t>
      </w:r>
      <w:r w:rsidR="002D75B5">
        <w:t>ng vessels were in the fishery. It is proposed to set recreational, M</w:t>
      </w:r>
      <w:r w:rsidR="002D75B5" w:rsidRPr="00033C36">
        <w:t>āori customary allowance</w:t>
      </w:r>
      <w:r w:rsidR="002D75B5">
        <w:t>s</w:t>
      </w:r>
      <w:r w:rsidR="002D75B5" w:rsidRPr="00033C36">
        <w:t xml:space="preserve"> </w:t>
      </w:r>
      <w:r w:rsidR="002D75B5">
        <w:t>and other sources of fishing related mortality allowances at</w:t>
      </w:r>
      <w:r w:rsidR="002D75B5" w:rsidRPr="00033C36">
        <w:t xml:space="preserve"> </w:t>
      </w:r>
      <w:r w:rsidR="002D75B5">
        <w:t>ten</w:t>
      </w:r>
      <w:r w:rsidR="002D75B5" w:rsidRPr="00033C36">
        <w:t xml:space="preserve"> (</w:t>
      </w:r>
      <w:r w:rsidR="002D75B5">
        <w:t>1</w:t>
      </w:r>
      <w:r w:rsidR="002D75B5" w:rsidRPr="00033C36">
        <w:t>0) tonnes</w:t>
      </w:r>
      <w:r w:rsidR="002D75B5">
        <w:t xml:space="preserve"> each for the first time under the TAC. </w:t>
      </w:r>
      <w:bookmarkStart w:id="72" w:name="_Toc450057531"/>
      <w:bookmarkStart w:id="73" w:name="_Toc450059135"/>
      <w:bookmarkStart w:id="74" w:name="_Toc450059165"/>
      <w:bookmarkEnd w:id="72"/>
      <w:bookmarkEnd w:id="73"/>
      <w:bookmarkEnd w:id="74"/>
    </w:p>
    <w:p w14:paraId="721A7C82" w14:textId="77777777" w:rsidR="00302B5C" w:rsidRDefault="00302B5C" w:rsidP="00203A35"/>
    <w:p w14:paraId="721A7C83" w14:textId="77777777" w:rsidR="00766F8F" w:rsidRPr="00530BA3" w:rsidRDefault="00766F8F" w:rsidP="00684682">
      <w:pPr>
        <w:pStyle w:val="Heading2"/>
      </w:pPr>
      <w:bookmarkStart w:id="75" w:name="_Toc453060482"/>
      <w:r w:rsidRPr="00530BA3">
        <w:t>Option 3</w:t>
      </w:r>
      <w:bookmarkEnd w:id="75"/>
    </w:p>
    <w:p w14:paraId="721A7C84" w14:textId="77777777" w:rsidR="00B57551" w:rsidRDefault="005316A5" w:rsidP="00854CFF">
      <w:r>
        <w:t xml:space="preserve">Option 3 </w:t>
      </w:r>
      <w:r w:rsidR="009714B5">
        <w:t xml:space="preserve">involves </w:t>
      </w:r>
      <w:r w:rsidR="00F67CB5">
        <w:t xml:space="preserve">an </w:t>
      </w:r>
      <w:r>
        <w:t>approximately</w:t>
      </w:r>
      <w:r w:rsidR="00287180">
        <w:t xml:space="preserve"> 90% decrease in the TACC to 5,000 tonnes. I</w:t>
      </w:r>
      <w:r w:rsidR="00287180" w:rsidRPr="00AA7AF4">
        <w:t xml:space="preserve">t </w:t>
      </w:r>
      <w:r w:rsidR="00287180">
        <w:t>has been</w:t>
      </w:r>
      <w:r w:rsidR="00287180" w:rsidRPr="00AA7AF4">
        <w:t xml:space="preserve"> </w:t>
      </w:r>
      <w:r w:rsidR="00287180">
        <w:t xml:space="preserve">10 </w:t>
      </w:r>
      <w:r w:rsidR="00287180" w:rsidRPr="00AA7AF4">
        <w:t xml:space="preserve">years since </w:t>
      </w:r>
      <w:r w:rsidR="00287180">
        <w:t>this level of catch occurred in SQU 1J</w:t>
      </w:r>
      <w:r w:rsidR="002D75B5">
        <w:t>. It is proposed to set recreational, M</w:t>
      </w:r>
      <w:r w:rsidR="002D75B5" w:rsidRPr="00033C36">
        <w:t>āori customary allowance</w:t>
      </w:r>
      <w:r w:rsidR="002D75B5">
        <w:t>s</w:t>
      </w:r>
      <w:r w:rsidR="002D75B5" w:rsidRPr="00033C36">
        <w:t xml:space="preserve"> </w:t>
      </w:r>
      <w:r w:rsidR="002D75B5">
        <w:t>and other sources of fishing related mortality allowances at</w:t>
      </w:r>
      <w:r w:rsidR="002D75B5" w:rsidRPr="00033C36">
        <w:t xml:space="preserve"> </w:t>
      </w:r>
      <w:r w:rsidR="002D75B5">
        <w:t>ten</w:t>
      </w:r>
      <w:r w:rsidR="002D75B5" w:rsidRPr="00033C36">
        <w:t xml:space="preserve"> (</w:t>
      </w:r>
      <w:r w:rsidR="002D75B5">
        <w:t>1</w:t>
      </w:r>
      <w:r w:rsidR="002D75B5" w:rsidRPr="00033C36">
        <w:t>0) tonnes</w:t>
      </w:r>
      <w:r w:rsidR="002D75B5">
        <w:t xml:space="preserve"> each for the first time under the TAC. </w:t>
      </w:r>
    </w:p>
    <w:p w14:paraId="721A7C85" w14:textId="77777777" w:rsidR="00302B5C" w:rsidRPr="00854CFF" w:rsidRDefault="00302B5C" w:rsidP="00854CFF"/>
    <w:p w14:paraId="721A7C86" w14:textId="77777777" w:rsidR="00710807" w:rsidRPr="00287180" w:rsidRDefault="00710807" w:rsidP="00530BA3">
      <w:pPr>
        <w:pStyle w:val="Heading1"/>
      </w:pPr>
      <w:bookmarkStart w:id="76" w:name="_Toc421169864"/>
      <w:bookmarkStart w:id="77" w:name="_Toc436817017"/>
      <w:bookmarkStart w:id="78" w:name="_Toc436817182"/>
      <w:bookmarkStart w:id="79" w:name="_Toc453060483"/>
      <w:r w:rsidRPr="00530BA3">
        <w:t>Other</w:t>
      </w:r>
      <w:r w:rsidRPr="00287180">
        <w:t xml:space="preserve"> Matters</w:t>
      </w:r>
      <w:bookmarkEnd w:id="76"/>
      <w:bookmarkEnd w:id="77"/>
      <w:bookmarkEnd w:id="78"/>
      <w:bookmarkEnd w:id="79"/>
    </w:p>
    <w:p w14:paraId="721A7C87" w14:textId="77777777" w:rsidR="00710807" w:rsidRPr="00287180" w:rsidRDefault="0000312A" w:rsidP="00530BA3">
      <w:pPr>
        <w:pStyle w:val="Heading2"/>
      </w:pPr>
      <w:bookmarkStart w:id="80" w:name="_Toc421169865"/>
      <w:bookmarkStart w:id="81" w:name="_Toc436817183"/>
      <w:bookmarkStart w:id="82" w:name="_Toc453060484"/>
      <w:r>
        <w:t>D</w:t>
      </w:r>
      <w:r w:rsidR="0055294B" w:rsidRPr="00530BA3">
        <w:t>eemed</w:t>
      </w:r>
      <w:r w:rsidR="00710807" w:rsidRPr="00287180">
        <w:t xml:space="preserve"> </w:t>
      </w:r>
      <w:bookmarkEnd w:id="80"/>
      <w:bookmarkEnd w:id="81"/>
      <w:r>
        <w:t>v</w:t>
      </w:r>
      <w:r w:rsidR="0055294B" w:rsidRPr="00287180">
        <w:t>alues</w:t>
      </w:r>
      <w:bookmarkEnd w:id="82"/>
    </w:p>
    <w:p w14:paraId="721A7C88" w14:textId="77777777" w:rsidR="00B46C4B" w:rsidRDefault="00710807" w:rsidP="00530BA3">
      <w:r>
        <w:t xml:space="preserve">Deemed values are an economic tool that incentivises commercial fishers not to catch in excess of their individual annual catch entitlements. </w:t>
      </w:r>
      <w:r w:rsidR="00033C36">
        <w:t>The current Interim Deemed Value is</w:t>
      </w:r>
      <w:r w:rsidR="008D631B">
        <w:t xml:space="preserve"> $0.44 and the current Annual Deemed Value is $0.88. It is proposed that these values remain the same.</w:t>
      </w:r>
    </w:p>
    <w:p w14:paraId="721A7C89" w14:textId="77777777" w:rsidR="00EB3173" w:rsidRDefault="00EB3173" w:rsidP="00530BA3"/>
    <w:p w14:paraId="721A7C8A" w14:textId="77777777" w:rsidR="00B654F1" w:rsidRPr="00287180" w:rsidRDefault="00710807" w:rsidP="00530BA3">
      <w:pPr>
        <w:pStyle w:val="Heading1"/>
      </w:pPr>
      <w:bookmarkStart w:id="83" w:name="_Toc421169867"/>
      <w:bookmarkStart w:id="84" w:name="_Toc436817018"/>
      <w:bookmarkStart w:id="85" w:name="_Toc436817185"/>
      <w:bookmarkStart w:id="86" w:name="_Toc453060485"/>
      <w:r w:rsidRPr="00530BA3">
        <w:t>Conclusion</w:t>
      </w:r>
      <w:bookmarkEnd w:id="83"/>
      <w:bookmarkEnd w:id="84"/>
      <w:bookmarkEnd w:id="85"/>
      <w:bookmarkEnd w:id="86"/>
    </w:p>
    <w:p w14:paraId="721A7C8B" w14:textId="77777777" w:rsidR="002C479C" w:rsidRDefault="00710807" w:rsidP="00AB7F5E">
      <w:r>
        <w:t xml:space="preserve">MPI is seeking information and views from tangata whenua and stakeholders to support the development of final advice to the Minister on management settings for </w:t>
      </w:r>
      <w:r w:rsidR="00A54907">
        <w:t>SQU 1J</w:t>
      </w:r>
      <w:r>
        <w:t xml:space="preserve"> for the fishing year commencing 1 </w:t>
      </w:r>
      <w:r w:rsidR="00543F97">
        <w:t>October</w:t>
      </w:r>
      <w:r w:rsidR="008374F8">
        <w:t xml:space="preserve"> 2016.</w:t>
      </w:r>
      <w:r w:rsidR="003D1945" w:rsidRPr="003D1945">
        <w:t xml:space="preserve"> </w:t>
      </w:r>
      <w:r w:rsidR="003D1945" w:rsidRPr="008741A7">
        <w:t xml:space="preserve">Landings of </w:t>
      </w:r>
      <w:r w:rsidR="00A54907">
        <w:t>SQU 1J</w:t>
      </w:r>
      <w:r w:rsidR="003D1945" w:rsidRPr="008741A7">
        <w:t xml:space="preserve"> have </w:t>
      </w:r>
      <w:r w:rsidR="003D1945">
        <w:t xml:space="preserve">never reached the current TACC and </w:t>
      </w:r>
      <w:r w:rsidR="003D1945" w:rsidRPr="008741A7">
        <w:t xml:space="preserve">have not exceeded 5% </w:t>
      </w:r>
      <w:r w:rsidR="003D1945">
        <w:t>of the TACC since 2006/07. A</w:t>
      </w:r>
      <w:r w:rsidR="003D1945" w:rsidRPr="008741A7">
        <w:t xml:space="preserve"> maximum of </w:t>
      </w:r>
      <w:r w:rsidR="003D1945">
        <w:t xml:space="preserve">only </w:t>
      </w:r>
      <w:r w:rsidR="003D1945" w:rsidRPr="008741A7">
        <w:t>five vessels ha</w:t>
      </w:r>
      <w:r w:rsidR="003D1945">
        <w:t>ve</w:t>
      </w:r>
      <w:r w:rsidR="003D1945" w:rsidRPr="008741A7">
        <w:t xml:space="preserve"> operated in the fishery</w:t>
      </w:r>
      <w:r w:rsidR="003D1945">
        <w:t xml:space="preserve"> in the last decade</w:t>
      </w:r>
      <w:r w:rsidR="003D1945" w:rsidRPr="008741A7">
        <w:t>.</w:t>
      </w:r>
      <w:r w:rsidR="00287180">
        <w:t xml:space="preserve"> MPI proposes three options; </w:t>
      </w:r>
      <w:r w:rsidR="003D1945">
        <w:t>the status quo</w:t>
      </w:r>
      <w:r w:rsidR="0040114F">
        <w:t>,</w:t>
      </w:r>
      <w:r w:rsidR="003D1945">
        <w:t xml:space="preserve"> and two large reductions</w:t>
      </w:r>
      <w:r w:rsidR="00792960">
        <w:t xml:space="preserve"> in TACC</w:t>
      </w:r>
      <w:r w:rsidR="004130E8">
        <w:t xml:space="preserve">. </w:t>
      </w:r>
    </w:p>
    <w:sectPr w:rsidR="002C479C" w:rsidSect="00C52F0C">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A7C93" w14:textId="77777777" w:rsidR="0087502C" w:rsidRDefault="0087502C">
      <w:r>
        <w:separator/>
      </w:r>
    </w:p>
  </w:endnote>
  <w:endnote w:type="continuationSeparator" w:id="0">
    <w:p w14:paraId="721A7C94" w14:textId="77777777" w:rsidR="0087502C" w:rsidRDefault="0087502C">
      <w:r>
        <w:continuationSeparator/>
      </w:r>
    </w:p>
  </w:endnote>
  <w:endnote w:type="continuationNotice" w:id="1">
    <w:p w14:paraId="721A7C95" w14:textId="77777777" w:rsidR="0087502C" w:rsidRDefault="008750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A7C97" w14:textId="77777777" w:rsidR="004B4FDB" w:rsidRDefault="004B4FDB">
    <w:pPr>
      <w:pStyle w:val="Footer"/>
    </w:pPr>
    <w:r>
      <w:rPr>
        <w:noProof/>
        <w:lang w:eastAsia="en-NZ"/>
      </w:rPr>
      <w:drawing>
        <wp:anchor distT="0" distB="0" distL="114300" distR="114300" simplePos="0" relativeHeight="251659776" behindDoc="0" locked="0" layoutInCell="1" allowOverlap="1" wp14:anchorId="721A7CA5" wp14:editId="721A7CA6">
          <wp:simplePos x="0" y="0"/>
          <wp:positionH relativeFrom="column">
            <wp:posOffset>1565275</wp:posOffset>
          </wp:positionH>
          <wp:positionV relativeFrom="paragraph">
            <wp:posOffset>70485</wp:posOffset>
          </wp:positionV>
          <wp:extent cx="2343785" cy="284480"/>
          <wp:effectExtent l="0" t="0" r="0" b="1270"/>
          <wp:wrapNone/>
          <wp:docPr id="27" name="Picture 27" descr="growing-and-protecting-new-zea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rowing-and-protecting-new-zeal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785" cy="284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8752" behindDoc="0" locked="0" layoutInCell="1" allowOverlap="1" wp14:anchorId="721A7CA7" wp14:editId="721A7CA8">
          <wp:simplePos x="0" y="0"/>
          <wp:positionH relativeFrom="column">
            <wp:posOffset>-1274445</wp:posOffset>
          </wp:positionH>
          <wp:positionV relativeFrom="paragraph">
            <wp:posOffset>131445</wp:posOffset>
          </wp:positionV>
          <wp:extent cx="1656080" cy="168910"/>
          <wp:effectExtent l="0" t="0" r="1270" b="2540"/>
          <wp:wrapNone/>
          <wp:docPr id="28" name="Picture 28" descr="newzea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ewzealand govern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6080" cy="1689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A7C99" w14:textId="77777777" w:rsidR="004B4FDB" w:rsidRDefault="004B4F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721A7C9A" w14:textId="77777777" w:rsidR="004B4FDB" w:rsidRDefault="004B4FD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A7C9B" w14:textId="77777777" w:rsidR="004B4FDB" w:rsidRPr="00231D6D" w:rsidRDefault="00D36217">
    <w:pPr>
      <w:pStyle w:val="Footer"/>
      <w:pBdr>
        <w:top w:val="single" w:sz="4" w:space="1" w:color="auto"/>
      </w:pBdr>
      <w:tabs>
        <w:tab w:val="clear" w:pos="8640"/>
      </w:tabs>
      <w:jc w:val="center"/>
    </w:pPr>
    <w:r>
      <w:rPr>
        <w:rStyle w:val="PageNumber"/>
      </w:rPr>
      <w:t>i</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A7C9C" w14:textId="77777777" w:rsidR="004B4FDB" w:rsidRDefault="004B4FD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A7C9D" w14:textId="77777777" w:rsidR="004B4FDB" w:rsidRPr="0063707E" w:rsidRDefault="004B4FDB">
    <w:pPr>
      <w:pStyle w:val="Footer"/>
      <w:pBdr>
        <w:top w:val="single" w:sz="4" w:space="1" w:color="auto"/>
      </w:pBdr>
      <w:tabs>
        <w:tab w:val="clear" w:pos="4320"/>
        <w:tab w:val="clear" w:pos="8640"/>
        <w:tab w:val="right" w:pos="9072"/>
      </w:tabs>
    </w:pPr>
    <w:r w:rsidRPr="0063707E">
      <w:rPr>
        <w:rStyle w:val="PageNumber"/>
      </w:rPr>
      <w:fldChar w:fldCharType="begin"/>
    </w:r>
    <w:r w:rsidRPr="0063707E">
      <w:rPr>
        <w:rStyle w:val="PageNumber"/>
      </w:rPr>
      <w:instrText xml:space="preserve"> PAGE </w:instrText>
    </w:r>
    <w:r w:rsidRPr="0063707E">
      <w:rPr>
        <w:rStyle w:val="PageNumber"/>
      </w:rPr>
      <w:fldChar w:fldCharType="separate"/>
    </w:r>
    <w:r w:rsidR="005301C3">
      <w:rPr>
        <w:rStyle w:val="PageNumber"/>
        <w:noProof/>
      </w:rPr>
      <w:t>8</w:t>
    </w:r>
    <w:r w:rsidRPr="0063707E">
      <w:rPr>
        <w:rStyle w:val="PageNumber"/>
      </w:rPr>
      <w:fldChar w:fldCharType="end"/>
    </w:r>
    <w:r w:rsidRPr="0063707E">
      <w:rPr>
        <w:rStyle w:val="PageNumber"/>
      </w:rPr>
      <w:t xml:space="preserve"> </w:t>
    </w:r>
    <w:r w:rsidRPr="0063707E">
      <w:sym w:font="Symbol" w:char="F0B7"/>
    </w:r>
    <w:r>
      <w:t xml:space="preserve"> Review of Sustainability Controls for SQU 1J</w:t>
    </w:r>
    <w:r w:rsidRPr="0063707E">
      <w:rPr>
        <w:rStyle w:val="PageNumber"/>
      </w:rPr>
      <w:tab/>
    </w:r>
    <w:r>
      <w:t>Ministry for Primary Industries</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A7C9E" w14:textId="77777777" w:rsidR="00D36217" w:rsidRPr="00231D6D" w:rsidRDefault="00D36217">
    <w:pPr>
      <w:pStyle w:val="Footer"/>
      <w:pBdr>
        <w:top w:val="single" w:sz="4" w:space="1" w:color="auto"/>
      </w:pBdr>
      <w:tabs>
        <w:tab w:val="clear" w:pos="8640"/>
      </w:tabs>
      <w:jc w:val="center"/>
    </w:pPr>
    <w:r>
      <w:rPr>
        <w:rStyle w:val="PageNumber"/>
      </w:rPr>
      <w:t>ii</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A7C9F" w14:textId="77777777" w:rsidR="004B4FDB" w:rsidRPr="0063707E" w:rsidRDefault="004B4FDB" w:rsidP="0043550C">
    <w:pPr>
      <w:pStyle w:val="Footer"/>
      <w:pBdr>
        <w:top w:val="single" w:sz="4" w:space="1" w:color="auto"/>
      </w:pBdr>
      <w:tabs>
        <w:tab w:val="clear" w:pos="4320"/>
        <w:tab w:val="clear" w:pos="8640"/>
        <w:tab w:val="right" w:pos="9072"/>
      </w:tabs>
    </w:pPr>
    <w:r>
      <w:t>Ministry for Primary Industries</w:t>
    </w:r>
    <w:r w:rsidRPr="0063707E">
      <w:rPr>
        <w:rStyle w:val="PageNumber"/>
      </w:rPr>
      <w:tab/>
    </w:r>
    <w:r>
      <w:t>Review of Sustainability Controls for SQU 1J</w:t>
    </w:r>
    <w:r w:rsidRPr="0063707E">
      <w:t xml:space="preserve"> </w:t>
    </w:r>
    <w:r w:rsidRPr="0063707E">
      <w:sym w:font="Symbol" w:char="F0B7"/>
    </w:r>
    <w:r>
      <w:t xml:space="preserve"> </w:t>
    </w:r>
    <w:r w:rsidRPr="0063707E">
      <w:rPr>
        <w:rStyle w:val="PageNumber"/>
      </w:rPr>
      <w:fldChar w:fldCharType="begin"/>
    </w:r>
    <w:r w:rsidRPr="0063707E">
      <w:rPr>
        <w:rStyle w:val="PageNumber"/>
      </w:rPr>
      <w:instrText xml:space="preserve"> PAGE </w:instrText>
    </w:r>
    <w:r w:rsidRPr="0063707E">
      <w:rPr>
        <w:rStyle w:val="PageNumber"/>
      </w:rPr>
      <w:fldChar w:fldCharType="separate"/>
    </w:r>
    <w:r w:rsidR="005301C3">
      <w:rPr>
        <w:rStyle w:val="PageNumber"/>
        <w:noProof/>
      </w:rPr>
      <w:t>7</w:t>
    </w:r>
    <w:r w:rsidRPr="0063707E">
      <w:rPr>
        <w:rStyle w:val="PageNumber"/>
      </w:rPr>
      <w:fldChar w:fldCharType="end"/>
    </w:r>
  </w:p>
  <w:p w14:paraId="721A7CA0" w14:textId="77777777" w:rsidR="004B4FDB" w:rsidRPr="00231D6D" w:rsidRDefault="004B4FDB">
    <w:pPr>
      <w:pStyle w:val="Footer"/>
      <w:pBdr>
        <w:top w:val="single" w:sz="4" w:space="1" w:color="auto"/>
      </w:pBdr>
      <w:tabs>
        <w:tab w:val="clear" w:pos="864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A7C90" w14:textId="77777777" w:rsidR="0087502C" w:rsidRDefault="0087502C">
      <w:r>
        <w:separator/>
      </w:r>
    </w:p>
  </w:footnote>
  <w:footnote w:type="continuationSeparator" w:id="0">
    <w:p w14:paraId="721A7C91" w14:textId="77777777" w:rsidR="0087502C" w:rsidRDefault="0087502C">
      <w:r>
        <w:continuationSeparator/>
      </w:r>
    </w:p>
  </w:footnote>
  <w:footnote w:type="continuationNotice" w:id="1">
    <w:p w14:paraId="721A7C92" w14:textId="77777777" w:rsidR="0087502C" w:rsidRDefault="0087502C"/>
  </w:footnote>
  <w:footnote w:id="2">
    <w:p w14:paraId="721A7CAB" w14:textId="77777777" w:rsidR="004B4FDB" w:rsidRPr="006226B0" w:rsidRDefault="004B4FDB" w:rsidP="006C35CC">
      <w:pPr>
        <w:autoSpaceDE w:val="0"/>
        <w:autoSpaceDN w:val="0"/>
        <w:adjustRightInd w:val="0"/>
        <w:rPr>
          <w:rFonts w:ascii="Arial Narrow" w:hAnsi="Arial Narrow"/>
          <w:sz w:val="18"/>
          <w:szCs w:val="18"/>
        </w:rPr>
      </w:pPr>
      <w:r w:rsidRPr="006226B0">
        <w:rPr>
          <w:rStyle w:val="FootnoteReference"/>
          <w:rFonts w:ascii="Arial Narrow" w:hAnsi="Arial Narrow"/>
          <w:sz w:val="18"/>
          <w:szCs w:val="18"/>
        </w:rPr>
        <w:footnoteRef/>
      </w:r>
      <w:r w:rsidRPr="006226B0">
        <w:rPr>
          <w:rFonts w:ascii="Arial Narrow" w:hAnsi="Arial Narrow"/>
          <w:sz w:val="18"/>
          <w:szCs w:val="18"/>
        </w:rPr>
        <w:t xml:space="preserve"> Thompson F. Berkenbusch K. (2016) Preparation of data of observed protected species captures, 2002–03 to</w:t>
      </w:r>
    </w:p>
    <w:p w14:paraId="721A7CAC" w14:textId="77777777" w:rsidR="004B4FDB" w:rsidRPr="006226B0" w:rsidRDefault="004B4FDB" w:rsidP="006C35CC">
      <w:pPr>
        <w:autoSpaceDE w:val="0"/>
        <w:autoSpaceDN w:val="0"/>
        <w:adjustRightInd w:val="0"/>
        <w:rPr>
          <w:rFonts w:ascii="Arial Narrow" w:hAnsi="Arial Narrow"/>
          <w:sz w:val="18"/>
          <w:szCs w:val="18"/>
        </w:rPr>
      </w:pPr>
      <w:r w:rsidRPr="006226B0">
        <w:rPr>
          <w:rFonts w:ascii="Arial Narrow" w:hAnsi="Arial Narrow"/>
          <w:sz w:val="18"/>
          <w:szCs w:val="18"/>
        </w:rPr>
        <w:t>2014–15 Draft report prepared for the Ministry for Primary Industries.</w:t>
      </w:r>
    </w:p>
  </w:footnote>
  <w:footnote w:id="3">
    <w:p w14:paraId="721A7CAD" w14:textId="77777777" w:rsidR="00DC2D7E" w:rsidRPr="00DC2D7E" w:rsidRDefault="00DC2D7E">
      <w:pPr>
        <w:pStyle w:val="FootnoteText"/>
        <w:rPr>
          <w:szCs w:val="16"/>
        </w:rPr>
      </w:pPr>
      <w:r w:rsidRPr="006226B0">
        <w:rPr>
          <w:rStyle w:val="FootnoteReference"/>
          <w:rFonts w:ascii="Arial Narrow" w:hAnsi="Arial Narrow"/>
          <w:sz w:val="18"/>
          <w:szCs w:val="18"/>
        </w:rPr>
        <w:footnoteRef/>
      </w:r>
      <w:r w:rsidRPr="006226B0">
        <w:rPr>
          <w:rFonts w:ascii="Arial Narrow" w:hAnsi="Arial Narrow"/>
          <w:sz w:val="18"/>
          <w:szCs w:val="18"/>
        </w:rPr>
        <w:t xml:space="preserve"> Abraham E. R., Thompson F. N. (2012). Captures of sooty shearwater in trawl fisheries, in the New Zealand Exclusive Economic Zone, from 2002–03 to 2010–11.</w:t>
      </w:r>
      <w:r w:rsidRPr="00DC2D7E">
        <w:rPr>
          <w:szCs w:val="16"/>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A7C96" w14:textId="77777777" w:rsidR="004B4FDB" w:rsidRDefault="004B4FDB" w:rsidP="009F7A2D">
    <w:pPr>
      <w:pStyle w:val="Header"/>
      <w:jc w:val="right"/>
    </w:pPr>
    <w:r>
      <w:rPr>
        <w:noProof/>
        <w:lang w:eastAsia="en-NZ"/>
      </w:rPr>
      <w:drawing>
        <wp:anchor distT="0" distB="0" distL="114300" distR="114300" simplePos="0" relativeHeight="251656704" behindDoc="0" locked="0" layoutInCell="1" allowOverlap="1" wp14:anchorId="721A7CA1" wp14:editId="721A7CA2">
          <wp:simplePos x="0" y="0"/>
          <wp:positionH relativeFrom="column">
            <wp:posOffset>705485</wp:posOffset>
          </wp:positionH>
          <wp:positionV relativeFrom="paragraph">
            <wp:posOffset>-39370</wp:posOffset>
          </wp:positionV>
          <wp:extent cx="3200400" cy="734695"/>
          <wp:effectExtent l="0" t="0" r="0" b="8255"/>
          <wp:wrapNone/>
          <wp:docPr id="25" name="Picture 25" descr="MPI-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PI-logo-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2DD3">
      <w:rPr>
        <w:noProof/>
        <w:lang w:eastAsia="en-NZ"/>
      </w:rPr>
      <w:drawing>
        <wp:anchor distT="0" distB="0" distL="114300" distR="114300" simplePos="0" relativeHeight="251657728" behindDoc="0" locked="0" layoutInCell="1" allowOverlap="1" wp14:anchorId="721A7CA3" wp14:editId="721A7CA4">
          <wp:simplePos x="0" y="0"/>
          <wp:positionH relativeFrom="column">
            <wp:posOffset>-3159125</wp:posOffset>
          </wp:positionH>
          <wp:positionV relativeFrom="paragraph">
            <wp:posOffset>-683260</wp:posOffset>
          </wp:positionV>
          <wp:extent cx="1969770" cy="112014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9770" cy="11201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A7C98" w14:textId="77777777" w:rsidR="004B4FDB" w:rsidRDefault="004B4FDB" w:rsidP="009F7A2D">
    <w:pPr>
      <w:pStyle w:val="Header"/>
      <w:jc w:val="right"/>
    </w:pPr>
    <w:r>
      <w:rPr>
        <w:noProof/>
        <w:lang w:eastAsia="en-NZ"/>
      </w:rPr>
      <mc:AlternateContent>
        <mc:Choice Requires="wps">
          <w:drawing>
            <wp:anchor distT="0" distB="0" distL="114300" distR="114300" simplePos="0" relativeHeight="251655680" behindDoc="0" locked="0" layoutInCell="1" allowOverlap="1" wp14:anchorId="721A7CA9" wp14:editId="721A7CAA">
              <wp:simplePos x="0" y="0"/>
              <wp:positionH relativeFrom="column">
                <wp:posOffset>-3159125</wp:posOffset>
              </wp:positionH>
              <wp:positionV relativeFrom="paragraph">
                <wp:posOffset>-454660</wp:posOffset>
              </wp:positionV>
              <wp:extent cx="2160270" cy="107442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10744200"/>
                      </a:xfrm>
                      <a:prstGeom prst="rect">
                        <a:avLst/>
                      </a:prstGeom>
                      <a:solidFill>
                        <a:srgbClr val="FDB913"/>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F1724" id="Rectangle 4" o:spid="_x0000_s1026" style="position:absolute;margin-left:-248.75pt;margin-top:-35.8pt;width:170.1pt;height:8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" fillcolor="#fdb913" stroked="f" strokeweight="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9EEE9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A16C43C8"/>
    <w:lvl w:ilvl="0">
      <w:start w:val="1"/>
      <w:numFmt w:val="lowerLetter"/>
      <w:pStyle w:val="ListNumber2"/>
      <w:lvlText w:val="%1)"/>
      <w:lvlJc w:val="left"/>
      <w:pPr>
        <w:tabs>
          <w:tab w:val="num" w:pos="284"/>
        </w:tabs>
        <w:ind w:left="284" w:hanging="284"/>
      </w:pPr>
      <w:rPr>
        <w:rFonts w:hint="default"/>
      </w:rPr>
    </w:lvl>
  </w:abstractNum>
  <w:abstractNum w:abstractNumId="2" w15:restartNumberingAfterBreak="0">
    <w:nsid w:val="FFFFFF83"/>
    <w:multiLevelType w:val="singleLevel"/>
    <w:tmpl w:val="42A06A24"/>
    <w:lvl w:ilvl="0">
      <w:start w:val="1"/>
      <w:numFmt w:val="bullet"/>
      <w:pStyle w:val="ListBullet2"/>
      <w:lvlText w:val="−"/>
      <w:lvlJc w:val="left"/>
      <w:pPr>
        <w:tabs>
          <w:tab w:val="num" w:pos="566"/>
        </w:tabs>
        <w:ind w:left="566" w:hanging="283"/>
      </w:pPr>
      <w:rPr>
        <w:rFonts w:ascii="Times New Roman" w:hAnsi="Times New Roman" w:cs="Times New Roman" w:hint="default"/>
      </w:rPr>
    </w:lvl>
  </w:abstractNum>
  <w:abstractNum w:abstractNumId="3" w15:restartNumberingAfterBreak="0">
    <w:nsid w:val="12D05A26"/>
    <w:multiLevelType w:val="multilevel"/>
    <w:tmpl w:val="1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8D71953"/>
    <w:multiLevelType w:val="hybridMultilevel"/>
    <w:tmpl w:val="761C7EBC"/>
    <w:lvl w:ilvl="0" w:tplc="E01AC0F8">
      <w:numFmt w:val="bullet"/>
      <w:lvlText w:val="•"/>
      <w:lvlJc w:val="left"/>
      <w:pPr>
        <w:ind w:left="1080" w:hanging="720"/>
      </w:pPr>
      <w:rPr>
        <w:rFonts w:ascii="Times New Roman" w:eastAsia="Calibri"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F6335E0"/>
    <w:multiLevelType w:val="hybridMultilevel"/>
    <w:tmpl w:val="46A23E1C"/>
    <w:lvl w:ilvl="0" w:tplc="D00AB826">
      <w:start w:val="1"/>
      <w:numFmt w:val="bullet"/>
      <w:lvlText w:val=""/>
      <w:lvlJc w:val="left"/>
      <w:pPr>
        <w:tabs>
          <w:tab w:val="num" w:pos="2552"/>
        </w:tabs>
        <w:ind w:left="2552" w:hanging="425"/>
      </w:pPr>
      <w:rPr>
        <w:rFonts w:ascii="Symbol" w:hAnsi="Symbol" w:hint="default"/>
      </w:rPr>
    </w:lvl>
    <w:lvl w:ilvl="1" w:tplc="08090003" w:tentative="1">
      <w:start w:val="1"/>
      <w:numFmt w:val="bullet"/>
      <w:lvlText w:val="o"/>
      <w:lvlJc w:val="left"/>
      <w:pPr>
        <w:tabs>
          <w:tab w:val="num" w:pos="3567"/>
        </w:tabs>
        <w:ind w:left="3567" w:hanging="360"/>
      </w:pPr>
      <w:rPr>
        <w:rFonts w:ascii="Courier New" w:hAnsi="Courier New" w:cs="Courier New" w:hint="default"/>
      </w:rPr>
    </w:lvl>
    <w:lvl w:ilvl="2" w:tplc="08090005" w:tentative="1">
      <w:start w:val="1"/>
      <w:numFmt w:val="bullet"/>
      <w:lvlText w:val=""/>
      <w:lvlJc w:val="left"/>
      <w:pPr>
        <w:tabs>
          <w:tab w:val="num" w:pos="4287"/>
        </w:tabs>
        <w:ind w:left="4287" w:hanging="360"/>
      </w:pPr>
      <w:rPr>
        <w:rFonts w:ascii="Wingdings" w:hAnsi="Wingdings" w:hint="default"/>
      </w:rPr>
    </w:lvl>
    <w:lvl w:ilvl="3" w:tplc="08090001" w:tentative="1">
      <w:start w:val="1"/>
      <w:numFmt w:val="bullet"/>
      <w:lvlText w:val=""/>
      <w:lvlJc w:val="left"/>
      <w:pPr>
        <w:tabs>
          <w:tab w:val="num" w:pos="5007"/>
        </w:tabs>
        <w:ind w:left="5007" w:hanging="360"/>
      </w:pPr>
      <w:rPr>
        <w:rFonts w:ascii="Symbol" w:hAnsi="Symbol" w:hint="default"/>
      </w:rPr>
    </w:lvl>
    <w:lvl w:ilvl="4" w:tplc="08090003" w:tentative="1">
      <w:start w:val="1"/>
      <w:numFmt w:val="bullet"/>
      <w:lvlText w:val="o"/>
      <w:lvlJc w:val="left"/>
      <w:pPr>
        <w:tabs>
          <w:tab w:val="num" w:pos="5727"/>
        </w:tabs>
        <w:ind w:left="5727" w:hanging="360"/>
      </w:pPr>
      <w:rPr>
        <w:rFonts w:ascii="Courier New" w:hAnsi="Courier New" w:cs="Courier New" w:hint="default"/>
      </w:rPr>
    </w:lvl>
    <w:lvl w:ilvl="5" w:tplc="08090005" w:tentative="1">
      <w:start w:val="1"/>
      <w:numFmt w:val="bullet"/>
      <w:lvlText w:val=""/>
      <w:lvlJc w:val="left"/>
      <w:pPr>
        <w:tabs>
          <w:tab w:val="num" w:pos="6447"/>
        </w:tabs>
        <w:ind w:left="6447" w:hanging="360"/>
      </w:pPr>
      <w:rPr>
        <w:rFonts w:ascii="Wingdings" w:hAnsi="Wingdings" w:hint="default"/>
      </w:rPr>
    </w:lvl>
    <w:lvl w:ilvl="6" w:tplc="08090001" w:tentative="1">
      <w:start w:val="1"/>
      <w:numFmt w:val="bullet"/>
      <w:lvlText w:val=""/>
      <w:lvlJc w:val="left"/>
      <w:pPr>
        <w:tabs>
          <w:tab w:val="num" w:pos="7167"/>
        </w:tabs>
        <w:ind w:left="7167" w:hanging="360"/>
      </w:pPr>
      <w:rPr>
        <w:rFonts w:ascii="Symbol" w:hAnsi="Symbol" w:hint="default"/>
      </w:rPr>
    </w:lvl>
    <w:lvl w:ilvl="7" w:tplc="08090003" w:tentative="1">
      <w:start w:val="1"/>
      <w:numFmt w:val="bullet"/>
      <w:lvlText w:val="o"/>
      <w:lvlJc w:val="left"/>
      <w:pPr>
        <w:tabs>
          <w:tab w:val="num" w:pos="7887"/>
        </w:tabs>
        <w:ind w:left="7887" w:hanging="360"/>
      </w:pPr>
      <w:rPr>
        <w:rFonts w:ascii="Courier New" w:hAnsi="Courier New" w:cs="Courier New" w:hint="default"/>
      </w:rPr>
    </w:lvl>
    <w:lvl w:ilvl="8" w:tplc="08090005" w:tentative="1">
      <w:start w:val="1"/>
      <w:numFmt w:val="bullet"/>
      <w:lvlText w:val=""/>
      <w:lvlJc w:val="left"/>
      <w:pPr>
        <w:tabs>
          <w:tab w:val="num" w:pos="8607"/>
        </w:tabs>
        <w:ind w:left="8607" w:hanging="360"/>
      </w:pPr>
      <w:rPr>
        <w:rFonts w:ascii="Wingdings" w:hAnsi="Wingdings" w:hint="default"/>
      </w:rPr>
    </w:lvl>
  </w:abstractNum>
  <w:abstractNum w:abstractNumId="6" w15:restartNumberingAfterBreak="0">
    <w:nsid w:val="302416E2"/>
    <w:multiLevelType w:val="hybridMultilevel"/>
    <w:tmpl w:val="263C157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86A6BCB"/>
    <w:multiLevelType w:val="hybridMultilevel"/>
    <w:tmpl w:val="3D1849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4A962FD9"/>
    <w:multiLevelType w:val="hybridMultilevel"/>
    <w:tmpl w:val="9EA6BC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D98148A"/>
    <w:multiLevelType w:val="hybridMultilevel"/>
    <w:tmpl w:val="5F304A3A"/>
    <w:lvl w:ilvl="0" w:tplc="14090001">
      <w:start w:val="1"/>
      <w:numFmt w:val="bullet"/>
      <w:lvlText w:val=""/>
      <w:lvlJc w:val="left"/>
      <w:pPr>
        <w:ind w:left="787" w:hanging="360"/>
      </w:pPr>
      <w:rPr>
        <w:rFonts w:ascii="Symbol" w:hAnsi="Symbol" w:hint="default"/>
      </w:rPr>
    </w:lvl>
    <w:lvl w:ilvl="1" w:tplc="14090003" w:tentative="1">
      <w:start w:val="1"/>
      <w:numFmt w:val="bullet"/>
      <w:lvlText w:val="o"/>
      <w:lvlJc w:val="left"/>
      <w:pPr>
        <w:ind w:left="1507" w:hanging="360"/>
      </w:pPr>
      <w:rPr>
        <w:rFonts w:ascii="Courier New" w:hAnsi="Courier New" w:cs="Courier New" w:hint="default"/>
      </w:rPr>
    </w:lvl>
    <w:lvl w:ilvl="2" w:tplc="14090005" w:tentative="1">
      <w:start w:val="1"/>
      <w:numFmt w:val="bullet"/>
      <w:lvlText w:val=""/>
      <w:lvlJc w:val="left"/>
      <w:pPr>
        <w:ind w:left="2227" w:hanging="360"/>
      </w:pPr>
      <w:rPr>
        <w:rFonts w:ascii="Wingdings" w:hAnsi="Wingdings" w:hint="default"/>
      </w:rPr>
    </w:lvl>
    <w:lvl w:ilvl="3" w:tplc="14090001" w:tentative="1">
      <w:start w:val="1"/>
      <w:numFmt w:val="bullet"/>
      <w:lvlText w:val=""/>
      <w:lvlJc w:val="left"/>
      <w:pPr>
        <w:ind w:left="2947" w:hanging="360"/>
      </w:pPr>
      <w:rPr>
        <w:rFonts w:ascii="Symbol" w:hAnsi="Symbol" w:hint="default"/>
      </w:rPr>
    </w:lvl>
    <w:lvl w:ilvl="4" w:tplc="14090003" w:tentative="1">
      <w:start w:val="1"/>
      <w:numFmt w:val="bullet"/>
      <w:lvlText w:val="o"/>
      <w:lvlJc w:val="left"/>
      <w:pPr>
        <w:ind w:left="3667" w:hanging="360"/>
      </w:pPr>
      <w:rPr>
        <w:rFonts w:ascii="Courier New" w:hAnsi="Courier New" w:cs="Courier New" w:hint="default"/>
      </w:rPr>
    </w:lvl>
    <w:lvl w:ilvl="5" w:tplc="14090005" w:tentative="1">
      <w:start w:val="1"/>
      <w:numFmt w:val="bullet"/>
      <w:lvlText w:val=""/>
      <w:lvlJc w:val="left"/>
      <w:pPr>
        <w:ind w:left="4387" w:hanging="360"/>
      </w:pPr>
      <w:rPr>
        <w:rFonts w:ascii="Wingdings" w:hAnsi="Wingdings" w:hint="default"/>
      </w:rPr>
    </w:lvl>
    <w:lvl w:ilvl="6" w:tplc="14090001" w:tentative="1">
      <w:start w:val="1"/>
      <w:numFmt w:val="bullet"/>
      <w:lvlText w:val=""/>
      <w:lvlJc w:val="left"/>
      <w:pPr>
        <w:ind w:left="5107" w:hanging="360"/>
      </w:pPr>
      <w:rPr>
        <w:rFonts w:ascii="Symbol" w:hAnsi="Symbol" w:hint="default"/>
      </w:rPr>
    </w:lvl>
    <w:lvl w:ilvl="7" w:tplc="14090003" w:tentative="1">
      <w:start w:val="1"/>
      <w:numFmt w:val="bullet"/>
      <w:lvlText w:val="o"/>
      <w:lvlJc w:val="left"/>
      <w:pPr>
        <w:ind w:left="5827" w:hanging="360"/>
      </w:pPr>
      <w:rPr>
        <w:rFonts w:ascii="Courier New" w:hAnsi="Courier New" w:cs="Courier New" w:hint="default"/>
      </w:rPr>
    </w:lvl>
    <w:lvl w:ilvl="8" w:tplc="14090005" w:tentative="1">
      <w:start w:val="1"/>
      <w:numFmt w:val="bullet"/>
      <w:lvlText w:val=""/>
      <w:lvlJc w:val="left"/>
      <w:pPr>
        <w:ind w:left="6547" w:hanging="360"/>
      </w:pPr>
      <w:rPr>
        <w:rFonts w:ascii="Wingdings" w:hAnsi="Wingdings" w:hint="default"/>
      </w:rPr>
    </w:lvl>
  </w:abstractNum>
  <w:abstractNum w:abstractNumId="10" w15:restartNumberingAfterBreak="0">
    <w:nsid w:val="4DCD7792"/>
    <w:multiLevelType w:val="singleLevel"/>
    <w:tmpl w:val="E8384DC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61541F2C"/>
    <w:multiLevelType w:val="singleLevel"/>
    <w:tmpl w:val="755A64F6"/>
    <w:lvl w:ilvl="0">
      <w:start w:val="1"/>
      <w:numFmt w:val="decimal"/>
      <w:pStyle w:val="ListNumber"/>
      <w:lvlText w:val="%1."/>
      <w:lvlJc w:val="left"/>
      <w:pPr>
        <w:tabs>
          <w:tab w:val="num" w:pos="1778"/>
        </w:tabs>
        <w:ind w:left="1758" w:hanging="340"/>
      </w:pPr>
      <w:rPr>
        <w:rFonts w:ascii="Times New Roman" w:hAnsi="Times New Roman" w:hint="default"/>
        <w:b w:val="0"/>
        <w:i w:val="0"/>
        <w:sz w:val="24"/>
        <w:effect w:val="none"/>
      </w:rPr>
    </w:lvl>
  </w:abstractNum>
  <w:abstractNum w:abstractNumId="12" w15:restartNumberingAfterBreak="0">
    <w:nsid w:val="6D094542"/>
    <w:multiLevelType w:val="hybridMultilevel"/>
    <w:tmpl w:val="DB04BBD2"/>
    <w:lvl w:ilvl="0" w:tplc="7556E08E">
      <w:start w:val="1"/>
      <w:numFmt w:val="decimal"/>
      <w:lvlText w:val="%1"/>
      <w:lvlJc w:val="left"/>
      <w:pPr>
        <w:ind w:left="720" w:hanging="360"/>
      </w:pPr>
      <w:rPr>
        <w:rFonts w:cs="Times New Roman"/>
        <w:b w:val="0"/>
        <w:i w:val="0"/>
      </w:rPr>
    </w:lvl>
    <w:lvl w:ilvl="1" w:tplc="14090017">
      <w:start w:val="1"/>
      <w:numFmt w:val="lowerLetter"/>
      <w:lvlText w:val="%2)"/>
      <w:lvlJc w:val="left"/>
      <w:pPr>
        <w:tabs>
          <w:tab w:val="num" w:pos="1353"/>
        </w:tabs>
        <w:ind w:left="1353" w:hanging="360"/>
      </w:pPr>
    </w:lvl>
    <w:lvl w:ilvl="2" w:tplc="1409001B">
      <w:start w:val="1"/>
      <w:numFmt w:val="decimal"/>
      <w:lvlText w:val="%3."/>
      <w:lvlJc w:val="left"/>
      <w:pPr>
        <w:tabs>
          <w:tab w:val="num" w:pos="2160"/>
        </w:tabs>
        <w:ind w:left="2160" w:hanging="360"/>
      </w:pPr>
      <w:rPr>
        <w:rFonts w:cs="Times New Roman"/>
      </w:rPr>
    </w:lvl>
    <w:lvl w:ilvl="3" w:tplc="1409000F">
      <w:start w:val="1"/>
      <w:numFmt w:val="decimal"/>
      <w:lvlText w:val="%4."/>
      <w:lvlJc w:val="left"/>
      <w:pPr>
        <w:tabs>
          <w:tab w:val="num" w:pos="2880"/>
        </w:tabs>
        <w:ind w:left="2880" w:hanging="360"/>
      </w:pPr>
      <w:rPr>
        <w:rFonts w:cs="Times New Roman"/>
      </w:rPr>
    </w:lvl>
    <w:lvl w:ilvl="4" w:tplc="14090019">
      <w:start w:val="1"/>
      <w:numFmt w:val="decimal"/>
      <w:lvlText w:val="%5."/>
      <w:lvlJc w:val="left"/>
      <w:pPr>
        <w:tabs>
          <w:tab w:val="num" w:pos="3600"/>
        </w:tabs>
        <w:ind w:left="3600" w:hanging="360"/>
      </w:pPr>
      <w:rPr>
        <w:rFonts w:cs="Times New Roman"/>
      </w:rPr>
    </w:lvl>
    <w:lvl w:ilvl="5" w:tplc="1409001B">
      <w:start w:val="1"/>
      <w:numFmt w:val="decimal"/>
      <w:lvlText w:val="%6."/>
      <w:lvlJc w:val="left"/>
      <w:pPr>
        <w:tabs>
          <w:tab w:val="num" w:pos="4320"/>
        </w:tabs>
        <w:ind w:left="4320" w:hanging="360"/>
      </w:pPr>
      <w:rPr>
        <w:rFonts w:cs="Times New Roman"/>
      </w:rPr>
    </w:lvl>
    <w:lvl w:ilvl="6" w:tplc="1409000F">
      <w:start w:val="1"/>
      <w:numFmt w:val="decimal"/>
      <w:lvlText w:val="%7."/>
      <w:lvlJc w:val="left"/>
      <w:pPr>
        <w:tabs>
          <w:tab w:val="num" w:pos="5040"/>
        </w:tabs>
        <w:ind w:left="5040" w:hanging="360"/>
      </w:pPr>
      <w:rPr>
        <w:rFonts w:cs="Times New Roman"/>
      </w:rPr>
    </w:lvl>
    <w:lvl w:ilvl="7" w:tplc="14090019">
      <w:start w:val="1"/>
      <w:numFmt w:val="decimal"/>
      <w:lvlText w:val="%8."/>
      <w:lvlJc w:val="left"/>
      <w:pPr>
        <w:tabs>
          <w:tab w:val="num" w:pos="5760"/>
        </w:tabs>
        <w:ind w:left="5760" w:hanging="360"/>
      </w:pPr>
      <w:rPr>
        <w:rFonts w:cs="Times New Roman"/>
      </w:rPr>
    </w:lvl>
    <w:lvl w:ilvl="8" w:tplc="1409001B">
      <w:start w:val="1"/>
      <w:numFmt w:val="decimal"/>
      <w:lvlText w:val="%9."/>
      <w:lvlJc w:val="left"/>
      <w:pPr>
        <w:tabs>
          <w:tab w:val="num" w:pos="6480"/>
        </w:tabs>
        <w:ind w:left="6480" w:hanging="360"/>
      </w:pPr>
      <w:rPr>
        <w:rFonts w:cs="Times New Roman"/>
      </w:rPr>
    </w:lvl>
  </w:abstractNum>
  <w:abstractNum w:abstractNumId="13" w15:restartNumberingAfterBreak="0">
    <w:nsid w:val="71970838"/>
    <w:multiLevelType w:val="hybridMultilevel"/>
    <w:tmpl w:val="D3BED48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773155C9"/>
    <w:multiLevelType w:val="hybridMultilevel"/>
    <w:tmpl w:val="A0EC091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1"/>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9"/>
  </w:num>
  <w:num w:numId="12">
    <w:abstractNumId w:val="7"/>
  </w:num>
  <w:num w:numId="13">
    <w:abstractNumId w:val="3"/>
  </w:num>
  <w:num w:numId="14">
    <w:abstractNumId w:val="3"/>
  </w:num>
  <w:num w:numId="15">
    <w:abstractNumId w:val="12"/>
  </w:num>
  <w:num w:numId="16">
    <w:abstractNumId w:val="3"/>
  </w:num>
  <w:num w:numId="17">
    <w:abstractNumId w:val="3"/>
  </w:num>
  <w:num w:numId="18">
    <w:abstractNumId w:val="5"/>
  </w:num>
  <w:num w:numId="19">
    <w:abstractNumId w:val="3"/>
  </w:num>
  <w:num w:numId="20">
    <w:abstractNumId w:val="6"/>
  </w:num>
  <w:num w:numId="21">
    <w:abstractNumId w:val="14"/>
  </w:num>
  <w:num w:numId="2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18433">
      <o:colormru v:ext="edit" colors="#fdb913,#005447"/>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47B"/>
    <w:rsid w:val="00000B46"/>
    <w:rsid w:val="000012AE"/>
    <w:rsid w:val="000025BD"/>
    <w:rsid w:val="00002B92"/>
    <w:rsid w:val="0000312A"/>
    <w:rsid w:val="00003889"/>
    <w:rsid w:val="00014C86"/>
    <w:rsid w:val="00015269"/>
    <w:rsid w:val="00017BAA"/>
    <w:rsid w:val="00020AA3"/>
    <w:rsid w:val="00020F7C"/>
    <w:rsid w:val="000260AA"/>
    <w:rsid w:val="00030D1E"/>
    <w:rsid w:val="00033C36"/>
    <w:rsid w:val="000370C0"/>
    <w:rsid w:val="000375C0"/>
    <w:rsid w:val="00037C48"/>
    <w:rsid w:val="000420CE"/>
    <w:rsid w:val="00044A14"/>
    <w:rsid w:val="00052350"/>
    <w:rsid w:val="00053886"/>
    <w:rsid w:val="00055EA0"/>
    <w:rsid w:val="000572BA"/>
    <w:rsid w:val="00060A47"/>
    <w:rsid w:val="00060CC5"/>
    <w:rsid w:val="00063F89"/>
    <w:rsid w:val="00066328"/>
    <w:rsid w:val="0006700F"/>
    <w:rsid w:val="0006782B"/>
    <w:rsid w:val="000743C1"/>
    <w:rsid w:val="0007441E"/>
    <w:rsid w:val="0007501C"/>
    <w:rsid w:val="00075F13"/>
    <w:rsid w:val="0007757A"/>
    <w:rsid w:val="000776FD"/>
    <w:rsid w:val="00081A7F"/>
    <w:rsid w:val="00083CB4"/>
    <w:rsid w:val="00090340"/>
    <w:rsid w:val="000A0E5F"/>
    <w:rsid w:val="000A1F19"/>
    <w:rsid w:val="000A3147"/>
    <w:rsid w:val="000A3989"/>
    <w:rsid w:val="000A3EF4"/>
    <w:rsid w:val="000A6103"/>
    <w:rsid w:val="000A7CEC"/>
    <w:rsid w:val="000B20A0"/>
    <w:rsid w:val="000B5154"/>
    <w:rsid w:val="000B6312"/>
    <w:rsid w:val="000B6899"/>
    <w:rsid w:val="000C02FD"/>
    <w:rsid w:val="000C0E4D"/>
    <w:rsid w:val="000C2341"/>
    <w:rsid w:val="000C2F61"/>
    <w:rsid w:val="000C562D"/>
    <w:rsid w:val="000C7E79"/>
    <w:rsid w:val="000D288D"/>
    <w:rsid w:val="000D3B8E"/>
    <w:rsid w:val="000D4699"/>
    <w:rsid w:val="000E359C"/>
    <w:rsid w:val="000E3A16"/>
    <w:rsid w:val="000E6A30"/>
    <w:rsid w:val="000E6E7C"/>
    <w:rsid w:val="000F168E"/>
    <w:rsid w:val="000F3752"/>
    <w:rsid w:val="000F3E4A"/>
    <w:rsid w:val="000F4C23"/>
    <w:rsid w:val="000F6E28"/>
    <w:rsid w:val="000F729C"/>
    <w:rsid w:val="00102228"/>
    <w:rsid w:val="0011381C"/>
    <w:rsid w:val="00113B05"/>
    <w:rsid w:val="00115217"/>
    <w:rsid w:val="00115B9F"/>
    <w:rsid w:val="00121B8B"/>
    <w:rsid w:val="00123646"/>
    <w:rsid w:val="00123FE5"/>
    <w:rsid w:val="00125188"/>
    <w:rsid w:val="001274C1"/>
    <w:rsid w:val="00131440"/>
    <w:rsid w:val="00133BD6"/>
    <w:rsid w:val="0013703F"/>
    <w:rsid w:val="0014103B"/>
    <w:rsid w:val="001426DD"/>
    <w:rsid w:val="0014368E"/>
    <w:rsid w:val="0015041A"/>
    <w:rsid w:val="00150F85"/>
    <w:rsid w:val="00150FA1"/>
    <w:rsid w:val="001519D4"/>
    <w:rsid w:val="00152811"/>
    <w:rsid w:val="00154A09"/>
    <w:rsid w:val="00161CC8"/>
    <w:rsid w:val="00162CE3"/>
    <w:rsid w:val="001644D1"/>
    <w:rsid w:val="0016662F"/>
    <w:rsid w:val="001667A6"/>
    <w:rsid w:val="00170C0D"/>
    <w:rsid w:val="00172295"/>
    <w:rsid w:val="00177F25"/>
    <w:rsid w:val="00185B7D"/>
    <w:rsid w:val="00192FA0"/>
    <w:rsid w:val="00194453"/>
    <w:rsid w:val="00194CAA"/>
    <w:rsid w:val="00197215"/>
    <w:rsid w:val="001A7C45"/>
    <w:rsid w:val="001B1907"/>
    <w:rsid w:val="001B246A"/>
    <w:rsid w:val="001B3FBD"/>
    <w:rsid w:val="001B5290"/>
    <w:rsid w:val="001B7B52"/>
    <w:rsid w:val="001C090B"/>
    <w:rsid w:val="001D158C"/>
    <w:rsid w:val="001D307A"/>
    <w:rsid w:val="001D30CB"/>
    <w:rsid w:val="001D5303"/>
    <w:rsid w:val="001D63A1"/>
    <w:rsid w:val="001E2603"/>
    <w:rsid w:val="001E33DE"/>
    <w:rsid w:val="001E6277"/>
    <w:rsid w:val="001F1423"/>
    <w:rsid w:val="001F2066"/>
    <w:rsid w:val="001F2E93"/>
    <w:rsid w:val="001F3AB8"/>
    <w:rsid w:val="00201B69"/>
    <w:rsid w:val="00201DFF"/>
    <w:rsid w:val="00202CE0"/>
    <w:rsid w:val="00203A35"/>
    <w:rsid w:val="00205385"/>
    <w:rsid w:val="002062E2"/>
    <w:rsid w:val="00207A6D"/>
    <w:rsid w:val="0021351C"/>
    <w:rsid w:val="00216A47"/>
    <w:rsid w:val="00217B1F"/>
    <w:rsid w:val="00217D0C"/>
    <w:rsid w:val="00225433"/>
    <w:rsid w:val="00225771"/>
    <w:rsid w:val="002264AA"/>
    <w:rsid w:val="00231D6D"/>
    <w:rsid w:val="002351BD"/>
    <w:rsid w:val="002353E4"/>
    <w:rsid w:val="00241E68"/>
    <w:rsid w:val="00243BA3"/>
    <w:rsid w:val="00245DEE"/>
    <w:rsid w:val="002466BA"/>
    <w:rsid w:val="002520B1"/>
    <w:rsid w:val="002526BE"/>
    <w:rsid w:val="002544CD"/>
    <w:rsid w:val="002551B2"/>
    <w:rsid w:val="002552D9"/>
    <w:rsid w:val="00255FC3"/>
    <w:rsid w:val="002604CD"/>
    <w:rsid w:val="0026239E"/>
    <w:rsid w:val="0026243B"/>
    <w:rsid w:val="002629C6"/>
    <w:rsid w:val="002678D6"/>
    <w:rsid w:val="00267BF0"/>
    <w:rsid w:val="00271A24"/>
    <w:rsid w:val="002744F8"/>
    <w:rsid w:val="00276EF2"/>
    <w:rsid w:val="00287180"/>
    <w:rsid w:val="00292260"/>
    <w:rsid w:val="00293F2A"/>
    <w:rsid w:val="00297905"/>
    <w:rsid w:val="002A2F4F"/>
    <w:rsid w:val="002B04AE"/>
    <w:rsid w:val="002B1E6A"/>
    <w:rsid w:val="002B5FD8"/>
    <w:rsid w:val="002B7F7A"/>
    <w:rsid w:val="002C04C2"/>
    <w:rsid w:val="002C479C"/>
    <w:rsid w:val="002C4A7C"/>
    <w:rsid w:val="002C711C"/>
    <w:rsid w:val="002D2A99"/>
    <w:rsid w:val="002D31D0"/>
    <w:rsid w:val="002D3324"/>
    <w:rsid w:val="002D3A35"/>
    <w:rsid w:val="002D4B72"/>
    <w:rsid w:val="002D549A"/>
    <w:rsid w:val="002D75B5"/>
    <w:rsid w:val="002E31D1"/>
    <w:rsid w:val="002E5EF5"/>
    <w:rsid w:val="002E629B"/>
    <w:rsid w:val="002E6571"/>
    <w:rsid w:val="002F3714"/>
    <w:rsid w:val="00302B5C"/>
    <w:rsid w:val="003035B7"/>
    <w:rsid w:val="0030451B"/>
    <w:rsid w:val="00306F1C"/>
    <w:rsid w:val="00311E6B"/>
    <w:rsid w:val="003161CE"/>
    <w:rsid w:val="003163CB"/>
    <w:rsid w:val="00317DD9"/>
    <w:rsid w:val="003207B4"/>
    <w:rsid w:val="00320D42"/>
    <w:rsid w:val="00320EFE"/>
    <w:rsid w:val="00321E5E"/>
    <w:rsid w:val="00331FE3"/>
    <w:rsid w:val="0033300F"/>
    <w:rsid w:val="003338C4"/>
    <w:rsid w:val="003359C4"/>
    <w:rsid w:val="003365C5"/>
    <w:rsid w:val="003375AD"/>
    <w:rsid w:val="003412C1"/>
    <w:rsid w:val="00344267"/>
    <w:rsid w:val="00346FC1"/>
    <w:rsid w:val="00350D9C"/>
    <w:rsid w:val="00354434"/>
    <w:rsid w:val="003604A7"/>
    <w:rsid w:val="00361776"/>
    <w:rsid w:val="00367ADE"/>
    <w:rsid w:val="00373093"/>
    <w:rsid w:val="00375117"/>
    <w:rsid w:val="00380564"/>
    <w:rsid w:val="00383008"/>
    <w:rsid w:val="00384016"/>
    <w:rsid w:val="003840B6"/>
    <w:rsid w:val="0038459D"/>
    <w:rsid w:val="00385D7A"/>
    <w:rsid w:val="00386C05"/>
    <w:rsid w:val="00387902"/>
    <w:rsid w:val="003923BA"/>
    <w:rsid w:val="003930AA"/>
    <w:rsid w:val="003968D6"/>
    <w:rsid w:val="003A03A2"/>
    <w:rsid w:val="003A3CE6"/>
    <w:rsid w:val="003B3D72"/>
    <w:rsid w:val="003C17E5"/>
    <w:rsid w:val="003C52EF"/>
    <w:rsid w:val="003C7674"/>
    <w:rsid w:val="003D02BF"/>
    <w:rsid w:val="003D1945"/>
    <w:rsid w:val="003D5CC6"/>
    <w:rsid w:val="003D6147"/>
    <w:rsid w:val="003D746C"/>
    <w:rsid w:val="003E14F9"/>
    <w:rsid w:val="003E44F4"/>
    <w:rsid w:val="003E4E01"/>
    <w:rsid w:val="003E641E"/>
    <w:rsid w:val="003E6570"/>
    <w:rsid w:val="003E78DB"/>
    <w:rsid w:val="003F0B45"/>
    <w:rsid w:val="003F258C"/>
    <w:rsid w:val="003F2600"/>
    <w:rsid w:val="003F3822"/>
    <w:rsid w:val="003F49E6"/>
    <w:rsid w:val="003F4D62"/>
    <w:rsid w:val="003F5D2A"/>
    <w:rsid w:val="003F7BBE"/>
    <w:rsid w:val="00400218"/>
    <w:rsid w:val="00400B86"/>
    <w:rsid w:val="0040114F"/>
    <w:rsid w:val="0040326D"/>
    <w:rsid w:val="0040596D"/>
    <w:rsid w:val="0041120B"/>
    <w:rsid w:val="00412C2C"/>
    <w:rsid w:val="004130E8"/>
    <w:rsid w:val="0041418B"/>
    <w:rsid w:val="00415FD2"/>
    <w:rsid w:val="00421985"/>
    <w:rsid w:val="00421A88"/>
    <w:rsid w:val="004228FF"/>
    <w:rsid w:val="0042375C"/>
    <w:rsid w:val="004274B9"/>
    <w:rsid w:val="00432C18"/>
    <w:rsid w:val="00432CBF"/>
    <w:rsid w:val="0043368B"/>
    <w:rsid w:val="0043550C"/>
    <w:rsid w:val="00442999"/>
    <w:rsid w:val="00442C2B"/>
    <w:rsid w:val="00442F00"/>
    <w:rsid w:val="0044300E"/>
    <w:rsid w:val="004440EB"/>
    <w:rsid w:val="00444E4B"/>
    <w:rsid w:val="0044517F"/>
    <w:rsid w:val="00446765"/>
    <w:rsid w:val="004478CC"/>
    <w:rsid w:val="00451272"/>
    <w:rsid w:val="00454BD2"/>
    <w:rsid w:val="00454F1C"/>
    <w:rsid w:val="00460157"/>
    <w:rsid w:val="004620C7"/>
    <w:rsid w:val="004663C7"/>
    <w:rsid w:val="00470257"/>
    <w:rsid w:val="00471C3D"/>
    <w:rsid w:val="00472C7D"/>
    <w:rsid w:val="00475639"/>
    <w:rsid w:val="004766D9"/>
    <w:rsid w:val="00476791"/>
    <w:rsid w:val="00484983"/>
    <w:rsid w:val="004852A4"/>
    <w:rsid w:val="00485518"/>
    <w:rsid w:val="004A251E"/>
    <w:rsid w:val="004B2904"/>
    <w:rsid w:val="004B2D85"/>
    <w:rsid w:val="004B4FDB"/>
    <w:rsid w:val="004B5BAC"/>
    <w:rsid w:val="004B6977"/>
    <w:rsid w:val="004C053F"/>
    <w:rsid w:val="004C0C2A"/>
    <w:rsid w:val="004C232C"/>
    <w:rsid w:val="004C254B"/>
    <w:rsid w:val="004C27B9"/>
    <w:rsid w:val="004C29D6"/>
    <w:rsid w:val="004C5870"/>
    <w:rsid w:val="004C59A4"/>
    <w:rsid w:val="004C7885"/>
    <w:rsid w:val="004D00BF"/>
    <w:rsid w:val="004D1673"/>
    <w:rsid w:val="004D26BB"/>
    <w:rsid w:val="004D406C"/>
    <w:rsid w:val="004D4C12"/>
    <w:rsid w:val="004D66EF"/>
    <w:rsid w:val="004D676C"/>
    <w:rsid w:val="004E1FFA"/>
    <w:rsid w:val="004E52C2"/>
    <w:rsid w:val="004E54EB"/>
    <w:rsid w:val="004E6C20"/>
    <w:rsid w:val="004F38B9"/>
    <w:rsid w:val="004F452C"/>
    <w:rsid w:val="004F59AB"/>
    <w:rsid w:val="00502430"/>
    <w:rsid w:val="0050410A"/>
    <w:rsid w:val="00510B4B"/>
    <w:rsid w:val="005112F8"/>
    <w:rsid w:val="00513AF1"/>
    <w:rsid w:val="00516087"/>
    <w:rsid w:val="005259D2"/>
    <w:rsid w:val="0052610C"/>
    <w:rsid w:val="00527006"/>
    <w:rsid w:val="005301A9"/>
    <w:rsid w:val="005301C3"/>
    <w:rsid w:val="00530BA3"/>
    <w:rsid w:val="005316A5"/>
    <w:rsid w:val="00533148"/>
    <w:rsid w:val="005344BC"/>
    <w:rsid w:val="00535C44"/>
    <w:rsid w:val="0053626B"/>
    <w:rsid w:val="005366D6"/>
    <w:rsid w:val="00543F97"/>
    <w:rsid w:val="00550200"/>
    <w:rsid w:val="00550E4C"/>
    <w:rsid w:val="00551242"/>
    <w:rsid w:val="0055294B"/>
    <w:rsid w:val="00553657"/>
    <w:rsid w:val="00563508"/>
    <w:rsid w:val="00565528"/>
    <w:rsid w:val="005706E8"/>
    <w:rsid w:val="00580C25"/>
    <w:rsid w:val="0058138B"/>
    <w:rsid w:val="00581822"/>
    <w:rsid w:val="0058341F"/>
    <w:rsid w:val="00585FD7"/>
    <w:rsid w:val="00591388"/>
    <w:rsid w:val="005949B3"/>
    <w:rsid w:val="00596C86"/>
    <w:rsid w:val="005A1878"/>
    <w:rsid w:val="005A1BC8"/>
    <w:rsid w:val="005A4915"/>
    <w:rsid w:val="005A6E43"/>
    <w:rsid w:val="005A72BA"/>
    <w:rsid w:val="005A7D28"/>
    <w:rsid w:val="005B218D"/>
    <w:rsid w:val="005B2C11"/>
    <w:rsid w:val="005B5986"/>
    <w:rsid w:val="005B6745"/>
    <w:rsid w:val="005B6B46"/>
    <w:rsid w:val="005C06D6"/>
    <w:rsid w:val="005C4577"/>
    <w:rsid w:val="005C4602"/>
    <w:rsid w:val="005C56C1"/>
    <w:rsid w:val="005C5E26"/>
    <w:rsid w:val="005C67FB"/>
    <w:rsid w:val="005D259D"/>
    <w:rsid w:val="005D26BE"/>
    <w:rsid w:val="005D47A6"/>
    <w:rsid w:val="005D7C12"/>
    <w:rsid w:val="005E4865"/>
    <w:rsid w:val="005E6CD1"/>
    <w:rsid w:val="005E6E93"/>
    <w:rsid w:val="005F0E95"/>
    <w:rsid w:val="005F1617"/>
    <w:rsid w:val="005F1883"/>
    <w:rsid w:val="005F2095"/>
    <w:rsid w:val="005F3718"/>
    <w:rsid w:val="005F62D5"/>
    <w:rsid w:val="005F6C91"/>
    <w:rsid w:val="00600E28"/>
    <w:rsid w:val="00602F00"/>
    <w:rsid w:val="00605B44"/>
    <w:rsid w:val="0060668B"/>
    <w:rsid w:val="00610AE6"/>
    <w:rsid w:val="006112A8"/>
    <w:rsid w:val="0061293D"/>
    <w:rsid w:val="00614CAA"/>
    <w:rsid w:val="0061544D"/>
    <w:rsid w:val="00616948"/>
    <w:rsid w:val="00620E8B"/>
    <w:rsid w:val="00621BD6"/>
    <w:rsid w:val="006222D3"/>
    <w:rsid w:val="006226B0"/>
    <w:rsid w:val="0062291B"/>
    <w:rsid w:val="00622B41"/>
    <w:rsid w:val="00626D88"/>
    <w:rsid w:val="0063215D"/>
    <w:rsid w:val="0063600B"/>
    <w:rsid w:val="0063707E"/>
    <w:rsid w:val="0063762B"/>
    <w:rsid w:val="00640691"/>
    <w:rsid w:val="00641BA6"/>
    <w:rsid w:val="00642E8E"/>
    <w:rsid w:val="006435D5"/>
    <w:rsid w:val="006470E5"/>
    <w:rsid w:val="0064713E"/>
    <w:rsid w:val="00647B8A"/>
    <w:rsid w:val="006519F6"/>
    <w:rsid w:val="00653356"/>
    <w:rsid w:val="0065384F"/>
    <w:rsid w:val="00653E48"/>
    <w:rsid w:val="0065564D"/>
    <w:rsid w:val="006617B6"/>
    <w:rsid w:val="00662EBB"/>
    <w:rsid w:val="00664B4B"/>
    <w:rsid w:val="006662D2"/>
    <w:rsid w:val="006701AC"/>
    <w:rsid w:val="006726D2"/>
    <w:rsid w:val="006748A1"/>
    <w:rsid w:val="0067516E"/>
    <w:rsid w:val="00684682"/>
    <w:rsid w:val="0068587A"/>
    <w:rsid w:val="00687570"/>
    <w:rsid w:val="00693126"/>
    <w:rsid w:val="006A4F72"/>
    <w:rsid w:val="006A78F3"/>
    <w:rsid w:val="006A7E1E"/>
    <w:rsid w:val="006B08D8"/>
    <w:rsid w:val="006B434C"/>
    <w:rsid w:val="006B4BB9"/>
    <w:rsid w:val="006B6F9F"/>
    <w:rsid w:val="006B7F6B"/>
    <w:rsid w:val="006C1DF6"/>
    <w:rsid w:val="006C35CC"/>
    <w:rsid w:val="006C36BF"/>
    <w:rsid w:val="006C559F"/>
    <w:rsid w:val="006C57DB"/>
    <w:rsid w:val="006C6871"/>
    <w:rsid w:val="006D01E9"/>
    <w:rsid w:val="006D0580"/>
    <w:rsid w:val="006D1D35"/>
    <w:rsid w:val="006D68B3"/>
    <w:rsid w:val="006E148A"/>
    <w:rsid w:val="006E517A"/>
    <w:rsid w:val="006E566D"/>
    <w:rsid w:val="006F1112"/>
    <w:rsid w:val="006F11C1"/>
    <w:rsid w:val="006F12DA"/>
    <w:rsid w:val="006F5A56"/>
    <w:rsid w:val="006F6D2B"/>
    <w:rsid w:val="00700523"/>
    <w:rsid w:val="00701D4E"/>
    <w:rsid w:val="00701E59"/>
    <w:rsid w:val="00704887"/>
    <w:rsid w:val="00707164"/>
    <w:rsid w:val="0070732E"/>
    <w:rsid w:val="007075EB"/>
    <w:rsid w:val="00710335"/>
    <w:rsid w:val="00710807"/>
    <w:rsid w:val="00713FD5"/>
    <w:rsid w:val="0071560F"/>
    <w:rsid w:val="00716B64"/>
    <w:rsid w:val="00721685"/>
    <w:rsid w:val="00723F61"/>
    <w:rsid w:val="007260AA"/>
    <w:rsid w:val="00727C39"/>
    <w:rsid w:val="00733C01"/>
    <w:rsid w:val="00741C70"/>
    <w:rsid w:val="00742EE0"/>
    <w:rsid w:val="00743021"/>
    <w:rsid w:val="00745E52"/>
    <w:rsid w:val="007509E0"/>
    <w:rsid w:val="00752A95"/>
    <w:rsid w:val="00754502"/>
    <w:rsid w:val="00754D83"/>
    <w:rsid w:val="007563EA"/>
    <w:rsid w:val="007576E3"/>
    <w:rsid w:val="00760432"/>
    <w:rsid w:val="0076186F"/>
    <w:rsid w:val="007666DC"/>
    <w:rsid w:val="00766BCD"/>
    <w:rsid w:val="00766F8F"/>
    <w:rsid w:val="00771ED9"/>
    <w:rsid w:val="00772045"/>
    <w:rsid w:val="00775351"/>
    <w:rsid w:val="007758EE"/>
    <w:rsid w:val="00780E1A"/>
    <w:rsid w:val="00780E97"/>
    <w:rsid w:val="00782F4C"/>
    <w:rsid w:val="00783320"/>
    <w:rsid w:val="007835B0"/>
    <w:rsid w:val="00783C63"/>
    <w:rsid w:val="00786686"/>
    <w:rsid w:val="007869B3"/>
    <w:rsid w:val="00792960"/>
    <w:rsid w:val="00792EF6"/>
    <w:rsid w:val="0079312E"/>
    <w:rsid w:val="00793F76"/>
    <w:rsid w:val="00795A44"/>
    <w:rsid w:val="007965D9"/>
    <w:rsid w:val="007A365D"/>
    <w:rsid w:val="007A42E3"/>
    <w:rsid w:val="007A52FC"/>
    <w:rsid w:val="007A53AA"/>
    <w:rsid w:val="007B3F55"/>
    <w:rsid w:val="007B49D1"/>
    <w:rsid w:val="007B752C"/>
    <w:rsid w:val="007C2266"/>
    <w:rsid w:val="007C7C2A"/>
    <w:rsid w:val="007D789D"/>
    <w:rsid w:val="007E331F"/>
    <w:rsid w:val="007E50D3"/>
    <w:rsid w:val="007E663B"/>
    <w:rsid w:val="007F1C18"/>
    <w:rsid w:val="007F548A"/>
    <w:rsid w:val="007F7DF7"/>
    <w:rsid w:val="00806CB5"/>
    <w:rsid w:val="00812770"/>
    <w:rsid w:val="008157D4"/>
    <w:rsid w:val="00815B30"/>
    <w:rsid w:val="00817DAB"/>
    <w:rsid w:val="008240B2"/>
    <w:rsid w:val="008244F1"/>
    <w:rsid w:val="00826634"/>
    <w:rsid w:val="00827887"/>
    <w:rsid w:val="00830D1A"/>
    <w:rsid w:val="00832051"/>
    <w:rsid w:val="00833A25"/>
    <w:rsid w:val="00835724"/>
    <w:rsid w:val="008374F8"/>
    <w:rsid w:val="00841221"/>
    <w:rsid w:val="00842644"/>
    <w:rsid w:val="00843026"/>
    <w:rsid w:val="00845450"/>
    <w:rsid w:val="0085000B"/>
    <w:rsid w:val="0085121F"/>
    <w:rsid w:val="00854CFF"/>
    <w:rsid w:val="00857840"/>
    <w:rsid w:val="00857C97"/>
    <w:rsid w:val="00860047"/>
    <w:rsid w:val="00866D4A"/>
    <w:rsid w:val="00866D9F"/>
    <w:rsid w:val="00866F96"/>
    <w:rsid w:val="00867553"/>
    <w:rsid w:val="008727BD"/>
    <w:rsid w:val="008741A7"/>
    <w:rsid w:val="0087502C"/>
    <w:rsid w:val="00881065"/>
    <w:rsid w:val="0088157B"/>
    <w:rsid w:val="00882ACC"/>
    <w:rsid w:val="00887A56"/>
    <w:rsid w:val="0089646D"/>
    <w:rsid w:val="008966AF"/>
    <w:rsid w:val="008A2739"/>
    <w:rsid w:val="008A31EE"/>
    <w:rsid w:val="008A3ACB"/>
    <w:rsid w:val="008A6C96"/>
    <w:rsid w:val="008A736C"/>
    <w:rsid w:val="008B0608"/>
    <w:rsid w:val="008B2F1F"/>
    <w:rsid w:val="008B34A6"/>
    <w:rsid w:val="008B6A55"/>
    <w:rsid w:val="008C261B"/>
    <w:rsid w:val="008C473E"/>
    <w:rsid w:val="008C78BB"/>
    <w:rsid w:val="008D1F2E"/>
    <w:rsid w:val="008D4DF9"/>
    <w:rsid w:val="008D631B"/>
    <w:rsid w:val="008D7B63"/>
    <w:rsid w:val="008E6C1B"/>
    <w:rsid w:val="008E6E10"/>
    <w:rsid w:val="008F0A9D"/>
    <w:rsid w:val="008F3AC5"/>
    <w:rsid w:val="008F47ED"/>
    <w:rsid w:val="008F5D4C"/>
    <w:rsid w:val="008F7393"/>
    <w:rsid w:val="009013A6"/>
    <w:rsid w:val="00902009"/>
    <w:rsid w:val="009049BE"/>
    <w:rsid w:val="00905A4C"/>
    <w:rsid w:val="00907D75"/>
    <w:rsid w:val="00911A8A"/>
    <w:rsid w:val="00915858"/>
    <w:rsid w:val="00917936"/>
    <w:rsid w:val="009200AD"/>
    <w:rsid w:val="00920915"/>
    <w:rsid w:val="009266E3"/>
    <w:rsid w:val="00926D76"/>
    <w:rsid w:val="0093206A"/>
    <w:rsid w:val="0094123A"/>
    <w:rsid w:val="00941D47"/>
    <w:rsid w:val="00946BC0"/>
    <w:rsid w:val="009508B8"/>
    <w:rsid w:val="009514A4"/>
    <w:rsid w:val="0095247B"/>
    <w:rsid w:val="00953433"/>
    <w:rsid w:val="009629C6"/>
    <w:rsid w:val="00964C4B"/>
    <w:rsid w:val="0096596C"/>
    <w:rsid w:val="009714B5"/>
    <w:rsid w:val="009716CB"/>
    <w:rsid w:val="009725B5"/>
    <w:rsid w:val="00973438"/>
    <w:rsid w:val="00976998"/>
    <w:rsid w:val="00981217"/>
    <w:rsid w:val="00991467"/>
    <w:rsid w:val="00997A7D"/>
    <w:rsid w:val="009A5594"/>
    <w:rsid w:val="009A5901"/>
    <w:rsid w:val="009B237E"/>
    <w:rsid w:val="009B24D4"/>
    <w:rsid w:val="009B277E"/>
    <w:rsid w:val="009B37A9"/>
    <w:rsid w:val="009B5DE5"/>
    <w:rsid w:val="009B695F"/>
    <w:rsid w:val="009B7FD3"/>
    <w:rsid w:val="009C6FE7"/>
    <w:rsid w:val="009C7F48"/>
    <w:rsid w:val="009D05F2"/>
    <w:rsid w:val="009D0DCD"/>
    <w:rsid w:val="009D19B6"/>
    <w:rsid w:val="009D447F"/>
    <w:rsid w:val="009D5A31"/>
    <w:rsid w:val="009D78E1"/>
    <w:rsid w:val="009D7E6C"/>
    <w:rsid w:val="009E2B04"/>
    <w:rsid w:val="009E35FD"/>
    <w:rsid w:val="009E5C11"/>
    <w:rsid w:val="009F7988"/>
    <w:rsid w:val="009F7A2D"/>
    <w:rsid w:val="00A0005E"/>
    <w:rsid w:val="00A0237A"/>
    <w:rsid w:val="00A031AE"/>
    <w:rsid w:val="00A03520"/>
    <w:rsid w:val="00A12AE1"/>
    <w:rsid w:val="00A219E4"/>
    <w:rsid w:val="00A27EC3"/>
    <w:rsid w:val="00A30B40"/>
    <w:rsid w:val="00A30EA0"/>
    <w:rsid w:val="00A30EA4"/>
    <w:rsid w:val="00A3228A"/>
    <w:rsid w:val="00A327EB"/>
    <w:rsid w:val="00A3749E"/>
    <w:rsid w:val="00A41697"/>
    <w:rsid w:val="00A44CF3"/>
    <w:rsid w:val="00A54907"/>
    <w:rsid w:val="00A56B30"/>
    <w:rsid w:val="00A616C1"/>
    <w:rsid w:val="00A62A62"/>
    <w:rsid w:val="00A6366F"/>
    <w:rsid w:val="00A669FB"/>
    <w:rsid w:val="00A705AA"/>
    <w:rsid w:val="00A71E96"/>
    <w:rsid w:val="00A7329B"/>
    <w:rsid w:val="00A73652"/>
    <w:rsid w:val="00A7513E"/>
    <w:rsid w:val="00A7595A"/>
    <w:rsid w:val="00A83234"/>
    <w:rsid w:val="00A86A0E"/>
    <w:rsid w:val="00A913F8"/>
    <w:rsid w:val="00A92C0A"/>
    <w:rsid w:val="00A939E0"/>
    <w:rsid w:val="00A93D8C"/>
    <w:rsid w:val="00A93E80"/>
    <w:rsid w:val="00A940AD"/>
    <w:rsid w:val="00A95CF9"/>
    <w:rsid w:val="00A97127"/>
    <w:rsid w:val="00A97A98"/>
    <w:rsid w:val="00AA0251"/>
    <w:rsid w:val="00AA083C"/>
    <w:rsid w:val="00AA1430"/>
    <w:rsid w:val="00AA1DFC"/>
    <w:rsid w:val="00AA33E2"/>
    <w:rsid w:val="00AA3AE1"/>
    <w:rsid w:val="00AA49BB"/>
    <w:rsid w:val="00AA676E"/>
    <w:rsid w:val="00AA76C6"/>
    <w:rsid w:val="00AA7AF4"/>
    <w:rsid w:val="00AB4022"/>
    <w:rsid w:val="00AB6F1A"/>
    <w:rsid w:val="00AB706C"/>
    <w:rsid w:val="00AB70D5"/>
    <w:rsid w:val="00AB7F5E"/>
    <w:rsid w:val="00AC03BD"/>
    <w:rsid w:val="00AC4E5A"/>
    <w:rsid w:val="00AC6510"/>
    <w:rsid w:val="00AD047B"/>
    <w:rsid w:val="00AD1C36"/>
    <w:rsid w:val="00AD3E00"/>
    <w:rsid w:val="00AD477A"/>
    <w:rsid w:val="00AD6686"/>
    <w:rsid w:val="00AD6CEC"/>
    <w:rsid w:val="00AD7D80"/>
    <w:rsid w:val="00AE3EBC"/>
    <w:rsid w:val="00AF55D5"/>
    <w:rsid w:val="00AF5E19"/>
    <w:rsid w:val="00AF5EE1"/>
    <w:rsid w:val="00AF6EE1"/>
    <w:rsid w:val="00B05304"/>
    <w:rsid w:val="00B05644"/>
    <w:rsid w:val="00B118F8"/>
    <w:rsid w:val="00B15325"/>
    <w:rsid w:val="00B16205"/>
    <w:rsid w:val="00B219BC"/>
    <w:rsid w:val="00B21C23"/>
    <w:rsid w:val="00B23500"/>
    <w:rsid w:val="00B3261B"/>
    <w:rsid w:val="00B32AE4"/>
    <w:rsid w:val="00B32CF6"/>
    <w:rsid w:val="00B346CC"/>
    <w:rsid w:val="00B34E6F"/>
    <w:rsid w:val="00B36101"/>
    <w:rsid w:val="00B40881"/>
    <w:rsid w:val="00B450B9"/>
    <w:rsid w:val="00B46C4B"/>
    <w:rsid w:val="00B47C31"/>
    <w:rsid w:val="00B512CA"/>
    <w:rsid w:val="00B541E2"/>
    <w:rsid w:val="00B57551"/>
    <w:rsid w:val="00B64732"/>
    <w:rsid w:val="00B653F8"/>
    <w:rsid w:val="00B654F1"/>
    <w:rsid w:val="00B72DD3"/>
    <w:rsid w:val="00B73A9A"/>
    <w:rsid w:val="00B7422C"/>
    <w:rsid w:val="00B83E6B"/>
    <w:rsid w:val="00B83EBC"/>
    <w:rsid w:val="00B84D8E"/>
    <w:rsid w:val="00B84F85"/>
    <w:rsid w:val="00B910B5"/>
    <w:rsid w:val="00B914B0"/>
    <w:rsid w:val="00B96711"/>
    <w:rsid w:val="00B96B53"/>
    <w:rsid w:val="00BB0A5B"/>
    <w:rsid w:val="00BB21E1"/>
    <w:rsid w:val="00BB3166"/>
    <w:rsid w:val="00BB448E"/>
    <w:rsid w:val="00BB7A63"/>
    <w:rsid w:val="00BC039A"/>
    <w:rsid w:val="00BC0DF8"/>
    <w:rsid w:val="00BC3B4E"/>
    <w:rsid w:val="00BC733A"/>
    <w:rsid w:val="00BD106C"/>
    <w:rsid w:val="00BD2AE8"/>
    <w:rsid w:val="00BD50FA"/>
    <w:rsid w:val="00BE0425"/>
    <w:rsid w:val="00BE2227"/>
    <w:rsid w:val="00BE4A25"/>
    <w:rsid w:val="00BE4A92"/>
    <w:rsid w:val="00BE74B7"/>
    <w:rsid w:val="00BF270B"/>
    <w:rsid w:val="00BF340D"/>
    <w:rsid w:val="00BF3FB0"/>
    <w:rsid w:val="00BF505E"/>
    <w:rsid w:val="00BF55F0"/>
    <w:rsid w:val="00C1072A"/>
    <w:rsid w:val="00C1242C"/>
    <w:rsid w:val="00C12945"/>
    <w:rsid w:val="00C12EBC"/>
    <w:rsid w:val="00C1350F"/>
    <w:rsid w:val="00C20185"/>
    <w:rsid w:val="00C204F0"/>
    <w:rsid w:val="00C20D0F"/>
    <w:rsid w:val="00C228CC"/>
    <w:rsid w:val="00C23B1F"/>
    <w:rsid w:val="00C253DD"/>
    <w:rsid w:val="00C3363F"/>
    <w:rsid w:val="00C36C30"/>
    <w:rsid w:val="00C37774"/>
    <w:rsid w:val="00C400FE"/>
    <w:rsid w:val="00C401AF"/>
    <w:rsid w:val="00C40549"/>
    <w:rsid w:val="00C41866"/>
    <w:rsid w:val="00C43DF4"/>
    <w:rsid w:val="00C44C55"/>
    <w:rsid w:val="00C44D77"/>
    <w:rsid w:val="00C462F7"/>
    <w:rsid w:val="00C472B4"/>
    <w:rsid w:val="00C47300"/>
    <w:rsid w:val="00C52696"/>
    <w:rsid w:val="00C52F0C"/>
    <w:rsid w:val="00C537FF"/>
    <w:rsid w:val="00C5387A"/>
    <w:rsid w:val="00C55AF6"/>
    <w:rsid w:val="00C57E79"/>
    <w:rsid w:val="00C60C7F"/>
    <w:rsid w:val="00C6591E"/>
    <w:rsid w:val="00C71AAE"/>
    <w:rsid w:val="00C71C58"/>
    <w:rsid w:val="00C7306B"/>
    <w:rsid w:val="00C77A9F"/>
    <w:rsid w:val="00C82E2A"/>
    <w:rsid w:val="00C83715"/>
    <w:rsid w:val="00C85C35"/>
    <w:rsid w:val="00C86343"/>
    <w:rsid w:val="00C9234B"/>
    <w:rsid w:val="00C92E78"/>
    <w:rsid w:val="00C93F54"/>
    <w:rsid w:val="00C95A3A"/>
    <w:rsid w:val="00CA01A8"/>
    <w:rsid w:val="00CA11D9"/>
    <w:rsid w:val="00CA147C"/>
    <w:rsid w:val="00CA1A29"/>
    <w:rsid w:val="00CA3A01"/>
    <w:rsid w:val="00CA7294"/>
    <w:rsid w:val="00CA72A8"/>
    <w:rsid w:val="00CB0EAA"/>
    <w:rsid w:val="00CB3553"/>
    <w:rsid w:val="00CB388E"/>
    <w:rsid w:val="00CC3C16"/>
    <w:rsid w:val="00CC71A3"/>
    <w:rsid w:val="00CD06A6"/>
    <w:rsid w:val="00CD1EF0"/>
    <w:rsid w:val="00CD2556"/>
    <w:rsid w:val="00CD4234"/>
    <w:rsid w:val="00CD7812"/>
    <w:rsid w:val="00CE1741"/>
    <w:rsid w:val="00CE4FA1"/>
    <w:rsid w:val="00CE7FF3"/>
    <w:rsid w:val="00CF625B"/>
    <w:rsid w:val="00D004C1"/>
    <w:rsid w:val="00D010F5"/>
    <w:rsid w:val="00D13906"/>
    <w:rsid w:val="00D13FF4"/>
    <w:rsid w:val="00D17A4E"/>
    <w:rsid w:val="00D22F75"/>
    <w:rsid w:val="00D25B56"/>
    <w:rsid w:val="00D25F34"/>
    <w:rsid w:val="00D27B1C"/>
    <w:rsid w:val="00D27FC1"/>
    <w:rsid w:val="00D33A27"/>
    <w:rsid w:val="00D36217"/>
    <w:rsid w:val="00D40D0F"/>
    <w:rsid w:val="00D414C6"/>
    <w:rsid w:val="00D42F3E"/>
    <w:rsid w:val="00D43B54"/>
    <w:rsid w:val="00D46B23"/>
    <w:rsid w:val="00D52DDC"/>
    <w:rsid w:val="00D54F3C"/>
    <w:rsid w:val="00D556FE"/>
    <w:rsid w:val="00D55BFD"/>
    <w:rsid w:val="00D65B93"/>
    <w:rsid w:val="00D7570F"/>
    <w:rsid w:val="00D7586B"/>
    <w:rsid w:val="00D8019A"/>
    <w:rsid w:val="00D8116A"/>
    <w:rsid w:val="00D8426B"/>
    <w:rsid w:val="00D8745F"/>
    <w:rsid w:val="00D87A92"/>
    <w:rsid w:val="00D90FB6"/>
    <w:rsid w:val="00D94044"/>
    <w:rsid w:val="00D97AF4"/>
    <w:rsid w:val="00DA08AA"/>
    <w:rsid w:val="00DA0F3F"/>
    <w:rsid w:val="00DA16DD"/>
    <w:rsid w:val="00DA1956"/>
    <w:rsid w:val="00DA43F0"/>
    <w:rsid w:val="00DA471D"/>
    <w:rsid w:val="00DA4DE9"/>
    <w:rsid w:val="00DA5564"/>
    <w:rsid w:val="00DA5E8D"/>
    <w:rsid w:val="00DA6070"/>
    <w:rsid w:val="00DB56FD"/>
    <w:rsid w:val="00DB5E61"/>
    <w:rsid w:val="00DB61DE"/>
    <w:rsid w:val="00DB79AB"/>
    <w:rsid w:val="00DB7A2A"/>
    <w:rsid w:val="00DC2936"/>
    <w:rsid w:val="00DC2D7E"/>
    <w:rsid w:val="00DC614B"/>
    <w:rsid w:val="00DC730F"/>
    <w:rsid w:val="00DD0A21"/>
    <w:rsid w:val="00DD193B"/>
    <w:rsid w:val="00DD1944"/>
    <w:rsid w:val="00DD2223"/>
    <w:rsid w:val="00DE54C9"/>
    <w:rsid w:val="00DE632E"/>
    <w:rsid w:val="00DF1331"/>
    <w:rsid w:val="00DF196D"/>
    <w:rsid w:val="00DF2BBC"/>
    <w:rsid w:val="00DF306F"/>
    <w:rsid w:val="00DF30CC"/>
    <w:rsid w:val="00DF5531"/>
    <w:rsid w:val="00DF7C0C"/>
    <w:rsid w:val="00E02576"/>
    <w:rsid w:val="00E05F5D"/>
    <w:rsid w:val="00E105FE"/>
    <w:rsid w:val="00E11B7F"/>
    <w:rsid w:val="00E137AB"/>
    <w:rsid w:val="00E1391D"/>
    <w:rsid w:val="00E168FB"/>
    <w:rsid w:val="00E16FDE"/>
    <w:rsid w:val="00E22300"/>
    <w:rsid w:val="00E25BA8"/>
    <w:rsid w:val="00E33A78"/>
    <w:rsid w:val="00E35A1C"/>
    <w:rsid w:val="00E368AC"/>
    <w:rsid w:val="00E37C36"/>
    <w:rsid w:val="00E43A7A"/>
    <w:rsid w:val="00E50384"/>
    <w:rsid w:val="00E61F97"/>
    <w:rsid w:val="00E629E2"/>
    <w:rsid w:val="00E6455D"/>
    <w:rsid w:val="00E6636E"/>
    <w:rsid w:val="00E701CB"/>
    <w:rsid w:val="00E74343"/>
    <w:rsid w:val="00E756A9"/>
    <w:rsid w:val="00E8057E"/>
    <w:rsid w:val="00E86DC4"/>
    <w:rsid w:val="00E90241"/>
    <w:rsid w:val="00E909A1"/>
    <w:rsid w:val="00E9161A"/>
    <w:rsid w:val="00E91C27"/>
    <w:rsid w:val="00E93E89"/>
    <w:rsid w:val="00E97052"/>
    <w:rsid w:val="00EA22AA"/>
    <w:rsid w:val="00EA2C97"/>
    <w:rsid w:val="00EA3376"/>
    <w:rsid w:val="00EA3C09"/>
    <w:rsid w:val="00EA560A"/>
    <w:rsid w:val="00EA63E9"/>
    <w:rsid w:val="00EB2715"/>
    <w:rsid w:val="00EB3173"/>
    <w:rsid w:val="00EB5E0A"/>
    <w:rsid w:val="00EB6206"/>
    <w:rsid w:val="00EC0D5F"/>
    <w:rsid w:val="00EC3313"/>
    <w:rsid w:val="00EC56A1"/>
    <w:rsid w:val="00EC5A61"/>
    <w:rsid w:val="00ED1B90"/>
    <w:rsid w:val="00ED4683"/>
    <w:rsid w:val="00ED7107"/>
    <w:rsid w:val="00EE0A26"/>
    <w:rsid w:val="00EE0AD4"/>
    <w:rsid w:val="00EE0BE1"/>
    <w:rsid w:val="00EE10A1"/>
    <w:rsid w:val="00EE3C6A"/>
    <w:rsid w:val="00EE3F4B"/>
    <w:rsid w:val="00EF15F9"/>
    <w:rsid w:val="00EF1D17"/>
    <w:rsid w:val="00EF6AE3"/>
    <w:rsid w:val="00EF7401"/>
    <w:rsid w:val="00F020EF"/>
    <w:rsid w:val="00F10B8D"/>
    <w:rsid w:val="00F11178"/>
    <w:rsid w:val="00F23224"/>
    <w:rsid w:val="00F23CEC"/>
    <w:rsid w:val="00F30C3B"/>
    <w:rsid w:val="00F3357F"/>
    <w:rsid w:val="00F33C44"/>
    <w:rsid w:val="00F34AE3"/>
    <w:rsid w:val="00F35305"/>
    <w:rsid w:val="00F374D8"/>
    <w:rsid w:val="00F374FB"/>
    <w:rsid w:val="00F429E3"/>
    <w:rsid w:val="00F47D31"/>
    <w:rsid w:val="00F50CA3"/>
    <w:rsid w:val="00F57AB0"/>
    <w:rsid w:val="00F61FBC"/>
    <w:rsid w:val="00F6248A"/>
    <w:rsid w:val="00F65275"/>
    <w:rsid w:val="00F6556D"/>
    <w:rsid w:val="00F6586D"/>
    <w:rsid w:val="00F67CB5"/>
    <w:rsid w:val="00F8196A"/>
    <w:rsid w:val="00F81B81"/>
    <w:rsid w:val="00F82861"/>
    <w:rsid w:val="00F82909"/>
    <w:rsid w:val="00F84F8A"/>
    <w:rsid w:val="00F85123"/>
    <w:rsid w:val="00F876D7"/>
    <w:rsid w:val="00F935C4"/>
    <w:rsid w:val="00F950F7"/>
    <w:rsid w:val="00F951E2"/>
    <w:rsid w:val="00FA2F8C"/>
    <w:rsid w:val="00FA4F6B"/>
    <w:rsid w:val="00FA736C"/>
    <w:rsid w:val="00FB15BB"/>
    <w:rsid w:val="00FB51FE"/>
    <w:rsid w:val="00FB6F34"/>
    <w:rsid w:val="00FB74F0"/>
    <w:rsid w:val="00FC0005"/>
    <w:rsid w:val="00FC0211"/>
    <w:rsid w:val="00FC070C"/>
    <w:rsid w:val="00FC100C"/>
    <w:rsid w:val="00FC1145"/>
    <w:rsid w:val="00FC2DAE"/>
    <w:rsid w:val="00FC36C7"/>
    <w:rsid w:val="00FC3D03"/>
    <w:rsid w:val="00FC4362"/>
    <w:rsid w:val="00FC79D3"/>
    <w:rsid w:val="00FC7CE7"/>
    <w:rsid w:val="00FD2801"/>
    <w:rsid w:val="00FD415C"/>
    <w:rsid w:val="00FE11F6"/>
    <w:rsid w:val="00FE5132"/>
    <w:rsid w:val="00FF0263"/>
    <w:rsid w:val="00FF0EDA"/>
    <w:rsid w:val="00FF1D5F"/>
    <w:rsid w:val="00FF2644"/>
    <w:rsid w:val="00FF2CF8"/>
    <w:rsid w:val="00FF2FAA"/>
    <w:rsid w:val="00FF7754"/>
    <w:rsid w:val="00FF7DF9"/>
    <w:rsid w:val="00FF7F43"/>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fdb913,#005447"/>
    </o:shapedefaults>
    <o:shapelayout v:ext="edit">
      <o:idmap v:ext="edit" data="1"/>
    </o:shapelayout>
  </w:shapeDefaults>
  <w:decimalSymbol w:val="."/>
  <w:listSeparator w:val=","/>
  <w14:docId w14:val="721A7B95"/>
  <w15:chartTrackingRefBased/>
  <w15:docId w15:val="{CD0D1B6D-06B0-402E-998C-5B7173FA6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lsdException w:name="toc 2"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uiPriority="99"/>
    <w:lsdException w:name="header" w:uiPriority="99"/>
    <w:lsdException w:name="caption" w:locked="1" w:qFormat="1"/>
    <w:lsdException w:name="envelope address" w:locked="1"/>
    <w:lsdException w:name="envelope return" w:locked="1"/>
    <w:lsdException w:name="line number" w:locked="1"/>
    <w:lsdException w:name="macro" w:locked="1"/>
    <w:lsdException w:name="List 3" w:locked="1"/>
    <w:lsdException w:name="List 4" w:locked="1"/>
    <w:lsdException w:name="List 5"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qFormat="1"/>
    <w:lsdException w:name="Closing" w:locked="1"/>
    <w:lsdException w:name="Signature"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Body Text First Indent" w:locked="1"/>
    <w:lsdException w:name="Body Text First Indent 2" w:locked="1"/>
    <w:lsdException w:name="Body Text 2" w:locked="1"/>
    <w:lsdException w:name="Body Text Indent 2" w:locked="1"/>
    <w:lsdException w:name="Body Text Indent 3" w:locked="1"/>
    <w:lsdException w:name="Block Text" w:locked="1"/>
    <w:lsdException w:name="Hyperlink" w:uiPriority="99"/>
    <w:lsdException w:name="Strong" w:locked="1" w:qFormat="1"/>
    <w:lsdException w:name="Emphasis" w:locked="1" w:uiPriority="20" w:qFormat="1"/>
    <w:lsdException w:name="Plain Text" w:uiPriority="99"/>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FC"/>
    <w:rPr>
      <w:sz w:val="24"/>
      <w:lang w:eastAsia="en-US"/>
    </w:rPr>
  </w:style>
  <w:style w:type="paragraph" w:styleId="Heading1">
    <w:name w:val="heading 1"/>
    <w:next w:val="Normal"/>
    <w:link w:val="Heading1Char"/>
    <w:qFormat/>
    <w:rsid w:val="00D7586B"/>
    <w:pPr>
      <w:keepNext/>
      <w:numPr>
        <w:numId w:val="5"/>
      </w:numPr>
      <w:spacing w:before="240" w:after="60"/>
      <w:outlineLvl w:val="0"/>
    </w:pPr>
    <w:rPr>
      <w:rFonts w:ascii="Arial Narrow" w:hAnsi="Arial Narrow"/>
      <w:b/>
      <w:kern w:val="28"/>
      <w:sz w:val="36"/>
      <w:lang w:eastAsia="en-US"/>
    </w:rPr>
  </w:style>
  <w:style w:type="paragraph" w:styleId="Heading2">
    <w:name w:val="heading 2"/>
    <w:basedOn w:val="Heading1"/>
    <w:next w:val="Normal"/>
    <w:qFormat/>
    <w:rsid w:val="00D7586B"/>
    <w:pPr>
      <w:numPr>
        <w:ilvl w:val="1"/>
      </w:numPr>
      <w:outlineLvl w:val="1"/>
    </w:pPr>
    <w:rPr>
      <w:caps/>
      <w:sz w:val="28"/>
    </w:rPr>
  </w:style>
  <w:style w:type="paragraph" w:styleId="Heading3">
    <w:name w:val="heading 3"/>
    <w:basedOn w:val="Heading2"/>
    <w:next w:val="Normal"/>
    <w:link w:val="Heading3Char"/>
    <w:qFormat/>
    <w:rsid w:val="00D7586B"/>
    <w:pPr>
      <w:numPr>
        <w:ilvl w:val="2"/>
      </w:numPr>
      <w:outlineLvl w:val="2"/>
    </w:pPr>
    <w:rPr>
      <w:caps w:val="0"/>
      <w:sz w:val="24"/>
    </w:rPr>
  </w:style>
  <w:style w:type="paragraph" w:styleId="Heading4">
    <w:name w:val="heading 4"/>
    <w:basedOn w:val="Normal"/>
    <w:next w:val="Normal"/>
    <w:qFormat/>
    <w:rsid w:val="00D7586B"/>
    <w:pPr>
      <w:keepNext/>
      <w:numPr>
        <w:ilvl w:val="3"/>
        <w:numId w:val="5"/>
      </w:numPr>
      <w:spacing w:before="240" w:after="60"/>
      <w:outlineLvl w:val="3"/>
    </w:pPr>
    <w:rPr>
      <w:rFonts w:ascii="Arial Narrow" w:hAnsi="Arial Narrow"/>
      <w:i/>
    </w:rPr>
  </w:style>
  <w:style w:type="paragraph" w:styleId="Heading5">
    <w:name w:val="heading 5"/>
    <w:basedOn w:val="Normal"/>
    <w:next w:val="Normal"/>
    <w:link w:val="Heading5Char"/>
    <w:qFormat/>
    <w:locked/>
    <w:rsid w:val="00432C18"/>
    <w:pPr>
      <w:numPr>
        <w:ilvl w:val="4"/>
        <w:numId w:val="5"/>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locked/>
    <w:rsid w:val="00432C18"/>
    <w:pPr>
      <w:numPr>
        <w:ilvl w:val="5"/>
        <w:numId w:val="5"/>
      </w:numPr>
      <w:spacing w:before="240" w:after="60"/>
      <w:outlineLvl w:val="5"/>
    </w:pPr>
    <w:rPr>
      <w:rFonts w:ascii="Calibri" w:hAnsi="Calibri"/>
      <w:b/>
      <w:bCs/>
      <w:sz w:val="22"/>
      <w:szCs w:val="22"/>
    </w:rPr>
  </w:style>
  <w:style w:type="paragraph" w:styleId="Heading7">
    <w:name w:val="heading 7"/>
    <w:basedOn w:val="Normal"/>
    <w:next w:val="Normal"/>
    <w:link w:val="Heading7Char"/>
    <w:qFormat/>
    <w:locked/>
    <w:rsid w:val="00432C18"/>
    <w:pPr>
      <w:numPr>
        <w:ilvl w:val="6"/>
        <w:numId w:val="5"/>
      </w:numPr>
      <w:spacing w:before="240" w:after="60"/>
      <w:outlineLvl w:val="6"/>
    </w:pPr>
    <w:rPr>
      <w:rFonts w:ascii="Calibri" w:hAnsi="Calibri"/>
      <w:szCs w:val="24"/>
    </w:rPr>
  </w:style>
  <w:style w:type="paragraph" w:styleId="Heading8">
    <w:name w:val="heading 8"/>
    <w:basedOn w:val="Normal"/>
    <w:next w:val="Normal"/>
    <w:link w:val="Heading8Char"/>
    <w:qFormat/>
    <w:locked/>
    <w:rsid w:val="00432C18"/>
    <w:pPr>
      <w:numPr>
        <w:ilvl w:val="7"/>
        <w:numId w:val="5"/>
      </w:numPr>
      <w:spacing w:before="240" w:after="60"/>
      <w:outlineLvl w:val="7"/>
    </w:pPr>
    <w:rPr>
      <w:rFonts w:ascii="Calibri" w:hAnsi="Calibri"/>
      <w:i/>
      <w:iCs/>
      <w:szCs w:val="24"/>
    </w:rPr>
  </w:style>
  <w:style w:type="paragraph" w:styleId="Heading9">
    <w:name w:val="heading 9"/>
    <w:basedOn w:val="Normal"/>
    <w:next w:val="Normal"/>
    <w:link w:val="Heading9Char"/>
    <w:qFormat/>
    <w:locked/>
    <w:rsid w:val="00432C18"/>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sHeadingLevel1">
    <w:name w:val="Contents Heading Level 1"/>
    <w:basedOn w:val="Normal"/>
    <w:rPr>
      <w:b/>
    </w:rPr>
  </w:style>
  <w:style w:type="paragraph" w:customStyle="1" w:styleId="ContentsHeadingLevel2">
    <w:name w:val="Contents Heading Level 2"/>
    <w:basedOn w:val="Normal"/>
  </w:style>
  <w:style w:type="paragraph" w:customStyle="1" w:styleId="ContentsHeadingLevel3">
    <w:name w:val="Contents Heading Level 3"/>
    <w:basedOn w:val="Normal"/>
    <w:pPr>
      <w:ind w:left="284"/>
    </w:pPr>
    <w:rPr>
      <w:sz w:val="20"/>
    </w:rPr>
  </w:style>
  <w:style w:type="paragraph" w:customStyle="1" w:styleId="ContentsPageNo">
    <w:name w:val="Contents Page No."/>
    <w:basedOn w:val="Normal"/>
    <w:pPr>
      <w:ind w:left="2552" w:right="3119"/>
    </w:pPr>
  </w:style>
  <w:style w:type="paragraph" w:styleId="FootnoteText">
    <w:name w:val="footnote text"/>
    <w:basedOn w:val="Normal"/>
    <w:link w:val="FootnoteTextChar"/>
    <w:uiPriority w:val="99"/>
    <w:rPr>
      <w:sz w:val="16"/>
    </w:rPr>
  </w:style>
  <w:style w:type="paragraph" w:styleId="ListBullet">
    <w:name w:val="List Bullet"/>
    <w:basedOn w:val="Normal"/>
    <w:autoRedefine/>
    <w:pPr>
      <w:numPr>
        <w:numId w:val="2"/>
      </w:numPr>
    </w:pPr>
  </w:style>
  <w:style w:type="paragraph" w:customStyle="1" w:styleId="PageNo">
    <w:name w:val="Page No."/>
    <w:basedOn w:val="Normal"/>
    <w:pPr>
      <w:ind w:left="2552" w:right="3119"/>
    </w:pPr>
  </w:style>
  <w:style w:type="paragraph" w:customStyle="1" w:styleId="TableColumnHeadings">
    <w:name w:val="Table Column Headings"/>
    <w:basedOn w:val="Normal"/>
    <w:rsid w:val="00231D6D"/>
    <w:pPr>
      <w:spacing w:before="60" w:after="60"/>
    </w:pPr>
    <w:rPr>
      <w:rFonts w:ascii="Arial Narrow" w:hAnsi="Arial Narrow"/>
      <w:b/>
      <w:sz w:val="20"/>
    </w:rPr>
  </w:style>
  <w:style w:type="paragraph" w:customStyle="1" w:styleId="TableMainTitle">
    <w:name w:val="Table Main Title"/>
    <w:basedOn w:val="Normal"/>
    <w:rsid w:val="009D78E1"/>
    <w:rPr>
      <w:rFonts w:ascii="Arial Narrow" w:hAnsi="Arial Narrow"/>
      <w:b/>
    </w:rPr>
  </w:style>
  <w:style w:type="paragraph" w:customStyle="1" w:styleId="TableNote">
    <w:name w:val="Table Note"/>
    <w:basedOn w:val="Normal"/>
    <w:rPr>
      <w:rFonts w:ascii="Arial Narrow" w:hAnsi="Arial Narrow"/>
      <w:sz w:val="16"/>
    </w:rPr>
  </w:style>
  <w:style w:type="paragraph" w:customStyle="1" w:styleId="TableSource">
    <w:name w:val="Table Source"/>
    <w:basedOn w:val="Normal"/>
    <w:locked/>
    <w:pPr>
      <w:jc w:val="right"/>
    </w:pPr>
    <w:rPr>
      <w:i/>
      <w:sz w:val="16"/>
    </w:rPr>
  </w:style>
  <w:style w:type="paragraph" w:customStyle="1" w:styleId="TableTotals">
    <w:name w:val="Table Totals"/>
    <w:basedOn w:val="Normal"/>
    <w:rPr>
      <w:rFonts w:ascii="Arial Narrow" w:hAnsi="Arial Narrow"/>
      <w:b/>
      <w:sz w:val="20"/>
    </w:rPr>
  </w:style>
  <w:style w:type="paragraph" w:customStyle="1" w:styleId="TablesText">
    <w:name w:val="Tables Text"/>
    <w:basedOn w:val="Normal"/>
    <w:rPr>
      <w:rFonts w:ascii="Arial Narrow" w:hAnsi="Arial Narrow"/>
      <w:sz w:val="20"/>
    </w:rPr>
  </w:style>
  <w:style w:type="paragraph" w:customStyle="1" w:styleId="Contents">
    <w:name w:val="Contents"/>
    <w:basedOn w:val="Normal"/>
    <w:rsid w:val="00231D6D"/>
    <w:pPr>
      <w:pBdr>
        <w:bottom w:val="single" w:sz="4" w:space="1" w:color="auto"/>
      </w:pBdr>
      <w:tabs>
        <w:tab w:val="right" w:pos="9071"/>
      </w:tabs>
    </w:pPr>
    <w:rPr>
      <w:rFonts w:ascii="Arial Narrow" w:hAnsi="Arial Narrow"/>
      <w:b/>
      <w:sz w:val="36"/>
    </w:rPr>
  </w:style>
  <w:style w:type="paragraph" w:customStyle="1" w:styleId="Textonaxes">
    <w:name w:val="Text (on axes"/>
    <w:aliases w:val="data lables)"/>
    <w:basedOn w:val="Normal"/>
    <w:locked/>
    <w:rPr>
      <w:rFonts w:ascii="Arial Narrow" w:hAnsi="Arial Narrow"/>
      <w:sz w:val="16"/>
    </w:rPr>
  </w:style>
  <w:style w:type="paragraph" w:customStyle="1" w:styleId="Axestitles">
    <w:name w:val="Axes titles"/>
    <w:basedOn w:val="Normal"/>
    <w:semiHidden/>
    <w:locked/>
    <w:rPr>
      <w:rFonts w:ascii="Arial Narrow" w:hAnsi="Arial Narrow"/>
      <w:b/>
      <w:sz w:val="16"/>
    </w:rPr>
  </w:style>
  <w:style w:type="paragraph" w:customStyle="1" w:styleId="FaxHeader">
    <w:name w:val="FaxHeader"/>
    <w:semiHidden/>
    <w:locked/>
    <w:pPr>
      <w:tabs>
        <w:tab w:val="left" w:pos="4800"/>
      </w:tabs>
      <w:spacing w:before="60" w:after="60"/>
      <w:ind w:left="1599" w:hanging="1599"/>
    </w:pPr>
    <w:rPr>
      <w:rFonts w:ascii="Arial" w:hAnsi="Arial"/>
      <w:sz w:val="24"/>
      <w:lang w:val="en-GB" w:eastAsia="en-US"/>
    </w:rPr>
  </w:style>
  <w:style w:type="paragraph" w:styleId="Footer">
    <w:name w:val="footer"/>
    <w:basedOn w:val="Normal"/>
    <w:rsid w:val="00C57E79"/>
    <w:pPr>
      <w:tabs>
        <w:tab w:val="center" w:pos="4320"/>
        <w:tab w:val="right" w:pos="8640"/>
      </w:tabs>
    </w:pPr>
    <w:rPr>
      <w:rFonts w:ascii="Arial Narrow" w:hAnsi="Arial Narrow"/>
      <w:sz w:val="18"/>
    </w:rPr>
  </w:style>
  <w:style w:type="paragraph" w:styleId="Header">
    <w:name w:val="header"/>
    <w:basedOn w:val="Normal"/>
    <w:link w:val="HeaderChar"/>
    <w:uiPriority w:val="99"/>
    <w:pPr>
      <w:tabs>
        <w:tab w:val="center" w:pos="4320"/>
        <w:tab w:val="right" w:pos="8640"/>
      </w:tabs>
    </w:pPr>
  </w:style>
  <w:style w:type="paragraph" w:customStyle="1" w:styleId="Page">
    <w:name w:val="Page"/>
    <w:basedOn w:val="Normal"/>
    <w:rsid w:val="00231D6D"/>
  </w:style>
  <w:style w:type="character" w:styleId="PageNumber">
    <w:name w:val="page number"/>
    <w:rsid w:val="00C57E79"/>
    <w:rPr>
      <w:rFonts w:ascii="Arial Narrow" w:hAnsi="Arial Narrow"/>
      <w:sz w:val="18"/>
    </w:rPr>
  </w:style>
  <w:style w:type="paragraph" w:styleId="BodyText3">
    <w:name w:val="Body Text 3"/>
    <w:basedOn w:val="Normal"/>
    <w:semiHidden/>
    <w:locked/>
    <w:pPr>
      <w:ind w:right="1395"/>
    </w:pPr>
  </w:style>
  <w:style w:type="paragraph" w:styleId="BodyText">
    <w:name w:val="Body Text"/>
    <w:basedOn w:val="Normal"/>
    <w:semiHidden/>
    <w:locked/>
    <w:pPr>
      <w:ind w:left="567"/>
      <w:jc w:val="both"/>
    </w:pPr>
  </w:style>
  <w:style w:type="paragraph" w:customStyle="1" w:styleId="BlockQuotation">
    <w:name w:val="Block Quotation"/>
    <w:basedOn w:val="BodyText"/>
    <w:semiHidden/>
    <w:locked/>
    <w:pPr>
      <w:keepLines/>
      <w:spacing w:line="220" w:lineRule="atLeast"/>
      <w:ind w:left="1440" w:right="720"/>
    </w:pPr>
    <w:rPr>
      <w:i/>
      <w:lang w:val="en-US"/>
    </w:rPr>
  </w:style>
  <w:style w:type="paragraph" w:styleId="TOC1">
    <w:name w:val="toc 1"/>
    <w:basedOn w:val="Normal"/>
    <w:uiPriority w:val="39"/>
    <w:locked/>
    <w:rsid w:val="00D36217"/>
    <w:pPr>
      <w:spacing w:before="120"/>
    </w:pPr>
    <w:rPr>
      <w:rFonts w:ascii="Arial Narrow" w:hAnsi="Arial Narrow"/>
      <w:b/>
      <w:bCs/>
    </w:rPr>
  </w:style>
  <w:style w:type="paragraph" w:styleId="TOC2">
    <w:name w:val="toc 2"/>
    <w:basedOn w:val="TOC1"/>
    <w:uiPriority w:val="39"/>
    <w:locked/>
    <w:rsid w:val="00D43B54"/>
    <w:pPr>
      <w:spacing w:before="0"/>
    </w:pPr>
    <w:rPr>
      <w:b w:val="0"/>
      <w:bCs w:val="0"/>
      <w:iCs/>
    </w:rPr>
  </w:style>
  <w:style w:type="paragraph" w:customStyle="1" w:styleId="FootnoteBase">
    <w:name w:val="Footnote Base"/>
    <w:basedOn w:val="Normal"/>
    <w:rsid w:val="00231D6D"/>
    <w:pPr>
      <w:spacing w:before="240"/>
    </w:pPr>
    <w:rPr>
      <w:sz w:val="18"/>
    </w:rPr>
  </w:style>
  <w:style w:type="paragraph" w:styleId="ListNumber">
    <w:name w:val="List Number"/>
    <w:basedOn w:val="List"/>
    <w:rsid w:val="00C1350F"/>
    <w:pPr>
      <w:numPr>
        <w:numId w:val="1"/>
      </w:numPr>
      <w:tabs>
        <w:tab w:val="clear" w:pos="1778"/>
      </w:tabs>
      <w:ind w:left="425" w:hanging="425"/>
    </w:pPr>
  </w:style>
  <w:style w:type="paragraph" w:styleId="List">
    <w:name w:val="List"/>
    <w:basedOn w:val="Normal"/>
    <w:pPr>
      <w:ind w:left="283" w:hanging="283"/>
    </w:pPr>
  </w:style>
  <w:style w:type="paragraph" w:styleId="Index1">
    <w:name w:val="index 1"/>
    <w:basedOn w:val="Normal"/>
    <w:next w:val="Normal"/>
    <w:autoRedefine/>
    <w:semiHidden/>
    <w:locked/>
    <w:pPr>
      <w:ind w:left="240" w:hanging="240"/>
    </w:pPr>
  </w:style>
  <w:style w:type="paragraph" w:styleId="Index2">
    <w:name w:val="index 2"/>
    <w:basedOn w:val="Normal"/>
    <w:next w:val="Normal"/>
    <w:autoRedefine/>
    <w:semiHidden/>
    <w:locked/>
    <w:pPr>
      <w:ind w:left="480" w:hanging="240"/>
    </w:pPr>
  </w:style>
  <w:style w:type="paragraph" w:styleId="Index3">
    <w:name w:val="index 3"/>
    <w:basedOn w:val="Normal"/>
    <w:next w:val="Normal"/>
    <w:autoRedefine/>
    <w:semiHidden/>
    <w:locked/>
    <w:pPr>
      <w:ind w:left="720" w:hanging="240"/>
    </w:pPr>
  </w:style>
  <w:style w:type="paragraph" w:styleId="Index4">
    <w:name w:val="index 4"/>
    <w:basedOn w:val="Normal"/>
    <w:next w:val="Normal"/>
    <w:autoRedefine/>
    <w:semiHidden/>
    <w:locked/>
    <w:pPr>
      <w:ind w:left="960" w:hanging="240"/>
    </w:pPr>
  </w:style>
  <w:style w:type="paragraph" w:styleId="Index5">
    <w:name w:val="index 5"/>
    <w:basedOn w:val="Normal"/>
    <w:next w:val="Normal"/>
    <w:autoRedefine/>
    <w:semiHidden/>
    <w:locked/>
    <w:pPr>
      <w:ind w:left="1200" w:hanging="240"/>
    </w:pPr>
  </w:style>
  <w:style w:type="paragraph" w:styleId="Index6">
    <w:name w:val="index 6"/>
    <w:basedOn w:val="Normal"/>
    <w:next w:val="Normal"/>
    <w:autoRedefine/>
    <w:semiHidden/>
    <w:locked/>
    <w:pPr>
      <w:ind w:left="1440" w:hanging="240"/>
    </w:pPr>
  </w:style>
  <w:style w:type="paragraph" w:styleId="Index7">
    <w:name w:val="index 7"/>
    <w:basedOn w:val="Normal"/>
    <w:next w:val="Normal"/>
    <w:autoRedefine/>
    <w:semiHidden/>
    <w:locked/>
    <w:pPr>
      <w:ind w:left="1680" w:hanging="240"/>
    </w:pPr>
  </w:style>
  <w:style w:type="paragraph" w:styleId="Index8">
    <w:name w:val="index 8"/>
    <w:basedOn w:val="Normal"/>
    <w:next w:val="Normal"/>
    <w:autoRedefine/>
    <w:semiHidden/>
    <w:locked/>
    <w:pPr>
      <w:ind w:left="1920" w:hanging="240"/>
    </w:pPr>
  </w:style>
  <w:style w:type="paragraph" w:styleId="Index9">
    <w:name w:val="index 9"/>
    <w:basedOn w:val="Normal"/>
    <w:next w:val="Normal"/>
    <w:autoRedefine/>
    <w:semiHidden/>
    <w:locked/>
    <w:pPr>
      <w:ind w:left="2160" w:hanging="240"/>
    </w:pPr>
  </w:style>
  <w:style w:type="paragraph" w:styleId="IndexHeading">
    <w:name w:val="index heading"/>
    <w:basedOn w:val="Normal"/>
    <w:next w:val="Index1"/>
    <w:semiHidden/>
    <w:locked/>
  </w:style>
  <w:style w:type="paragraph" w:customStyle="1" w:styleId="ReturnAddress">
    <w:name w:val="Return Address"/>
    <w:basedOn w:val="Normal"/>
    <w:pPr>
      <w:jc w:val="center"/>
    </w:pPr>
    <w:rPr>
      <w:spacing w:val="-3"/>
      <w:sz w:val="20"/>
      <w:lang w:val="en-AU"/>
    </w:rPr>
  </w:style>
  <w:style w:type="paragraph" w:customStyle="1" w:styleId="TOC20">
    <w:name w:val="TOC2"/>
    <w:basedOn w:val="TOC1"/>
    <w:rsid w:val="00C60C7F"/>
    <w:pPr>
      <w:spacing w:before="0"/>
    </w:pPr>
    <w:rPr>
      <w:b w:val="0"/>
    </w:rPr>
  </w:style>
  <w:style w:type="paragraph" w:customStyle="1" w:styleId="TOC10">
    <w:name w:val="TOC1"/>
    <w:basedOn w:val="TOC20"/>
    <w:rsid w:val="007B752C"/>
    <w:pPr>
      <w:spacing w:before="240"/>
    </w:pPr>
    <w:rPr>
      <w:b/>
    </w:rPr>
  </w:style>
  <w:style w:type="paragraph" w:styleId="Title">
    <w:name w:val="Title"/>
    <w:basedOn w:val="Normal"/>
    <w:link w:val="TitleChar"/>
    <w:qFormat/>
    <w:rsid w:val="00B72DD3"/>
    <w:pPr>
      <w:spacing w:before="240" w:after="60"/>
    </w:pPr>
    <w:rPr>
      <w:rFonts w:ascii="Arial Narrow" w:hAnsi="Arial Narrow" w:cs="Arial"/>
      <w:b/>
      <w:bCs/>
      <w:kern w:val="28"/>
      <w:sz w:val="48"/>
      <w:szCs w:val="32"/>
    </w:rPr>
  </w:style>
  <w:style w:type="character" w:customStyle="1" w:styleId="TitleChar">
    <w:name w:val="Title Char"/>
    <w:link w:val="Title"/>
    <w:rsid w:val="00B72DD3"/>
    <w:rPr>
      <w:rFonts w:ascii="Arial Narrow" w:hAnsi="Arial Narrow" w:cs="Arial"/>
      <w:b/>
      <w:bCs/>
      <w:kern w:val="28"/>
      <w:sz w:val="48"/>
      <w:szCs w:val="32"/>
      <w:lang w:val="en-NZ" w:eastAsia="en-US" w:bidi="ar-SA"/>
    </w:rPr>
  </w:style>
  <w:style w:type="paragraph" w:styleId="Subtitle">
    <w:name w:val="Subtitle"/>
    <w:basedOn w:val="Normal"/>
    <w:qFormat/>
    <w:rsid w:val="009F7A2D"/>
    <w:pPr>
      <w:spacing w:after="60"/>
    </w:pPr>
    <w:rPr>
      <w:rFonts w:ascii="Arial Narrow" w:hAnsi="Arial Narrow" w:cs="Arial"/>
      <w:b/>
      <w:sz w:val="28"/>
      <w:szCs w:val="24"/>
    </w:rPr>
  </w:style>
  <w:style w:type="paragraph" w:customStyle="1" w:styleId="ISBN">
    <w:name w:val="ISBN"/>
    <w:basedOn w:val="Normal"/>
    <w:rsid w:val="00C57E79"/>
    <w:rPr>
      <w:rFonts w:ascii="Arial Narrow" w:hAnsi="Arial Narrow"/>
    </w:rPr>
  </w:style>
  <w:style w:type="paragraph" w:customStyle="1" w:styleId="Date-frontpage">
    <w:name w:val="Date-front page"/>
    <w:basedOn w:val="ReturnAddress"/>
    <w:rsid w:val="009F7A2D"/>
    <w:pPr>
      <w:jc w:val="left"/>
    </w:pPr>
    <w:rPr>
      <w:rFonts w:ascii="Arial Narrow" w:hAnsi="Arial Narrow"/>
      <w:b/>
      <w:sz w:val="24"/>
    </w:rPr>
  </w:style>
  <w:style w:type="paragraph" w:customStyle="1" w:styleId="Disclaimer">
    <w:name w:val="Disclaimer"/>
    <w:basedOn w:val="Normal"/>
    <w:rsid w:val="00C57E79"/>
    <w:pPr>
      <w:ind w:right="1395"/>
    </w:pPr>
    <w:rPr>
      <w:rFonts w:ascii="Arial Narrow" w:hAnsi="Arial Narrow"/>
      <w:b/>
      <w:sz w:val="36"/>
    </w:rPr>
  </w:style>
  <w:style w:type="paragraph" w:styleId="ListBullet2">
    <w:name w:val="List Bullet 2"/>
    <w:basedOn w:val="Normal"/>
    <w:rsid w:val="00C57E79"/>
    <w:pPr>
      <w:numPr>
        <w:numId w:val="3"/>
      </w:numPr>
    </w:pPr>
  </w:style>
  <w:style w:type="paragraph" w:styleId="ListNumber2">
    <w:name w:val="List Number 2"/>
    <w:basedOn w:val="Normal"/>
    <w:rsid w:val="00C57E79"/>
    <w:pPr>
      <w:numPr>
        <w:numId w:val="4"/>
      </w:numPr>
      <w:tabs>
        <w:tab w:val="clear" w:pos="284"/>
        <w:tab w:val="num" w:pos="851"/>
      </w:tabs>
      <w:ind w:left="851" w:hanging="426"/>
    </w:pPr>
  </w:style>
  <w:style w:type="table" w:styleId="TableGrid">
    <w:name w:val="Table Grid"/>
    <w:basedOn w:val="TableNormal"/>
    <w:semiHidden/>
    <w:locked/>
    <w:rsid w:val="00231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scentred">
    <w:name w:val="Table Column Headings centred"/>
    <w:basedOn w:val="TableColumnHeadings"/>
    <w:rsid w:val="00231D6D"/>
    <w:pPr>
      <w:tabs>
        <w:tab w:val="left" w:pos="1005"/>
      </w:tabs>
      <w:jc w:val="center"/>
    </w:pPr>
  </w:style>
  <w:style w:type="paragraph" w:customStyle="1" w:styleId="TablesTextdecimalaligned">
    <w:name w:val="Tables Text decimal aligned"/>
    <w:basedOn w:val="TablesText"/>
    <w:rsid w:val="00231D6D"/>
    <w:pPr>
      <w:tabs>
        <w:tab w:val="decimal" w:pos="1365"/>
      </w:tabs>
    </w:pPr>
  </w:style>
  <w:style w:type="character" w:customStyle="1" w:styleId="Bold">
    <w:name w:val="Bold"/>
    <w:rsid w:val="00231D6D"/>
    <w:rPr>
      <w:b/>
    </w:rPr>
  </w:style>
  <w:style w:type="character" w:customStyle="1" w:styleId="Italic">
    <w:name w:val="Italic"/>
    <w:rsid w:val="00231D6D"/>
    <w:rPr>
      <w:i/>
    </w:rPr>
  </w:style>
  <w:style w:type="character" w:customStyle="1" w:styleId="BoldItalic">
    <w:name w:val="Bold Italic"/>
    <w:rsid w:val="00231D6D"/>
    <w:rPr>
      <w:b/>
      <w:i/>
    </w:rPr>
  </w:style>
  <w:style w:type="character" w:customStyle="1" w:styleId="superscript">
    <w:name w:val="superscript"/>
    <w:rsid w:val="004D1673"/>
    <w:rPr>
      <w:vertAlign w:val="superscript"/>
    </w:rPr>
  </w:style>
  <w:style w:type="character" w:customStyle="1" w:styleId="subscript">
    <w:name w:val="subscript"/>
    <w:rsid w:val="004D1673"/>
    <w:rPr>
      <w:vertAlign w:val="subscript"/>
    </w:rPr>
  </w:style>
  <w:style w:type="character" w:styleId="FollowedHyperlink">
    <w:name w:val="FollowedHyperlink"/>
    <w:rsid w:val="007075EB"/>
    <w:rPr>
      <w:color w:val="800080"/>
      <w:u w:val="single"/>
    </w:rPr>
  </w:style>
  <w:style w:type="character" w:styleId="Hyperlink">
    <w:name w:val="Hyperlink"/>
    <w:uiPriority w:val="99"/>
    <w:rsid w:val="006C57DB"/>
    <w:rPr>
      <w:color w:val="0000FF"/>
      <w:u w:val="single"/>
    </w:rPr>
  </w:style>
  <w:style w:type="character" w:customStyle="1" w:styleId="Heading5Char">
    <w:name w:val="Heading 5 Char"/>
    <w:link w:val="Heading5"/>
    <w:rsid w:val="00D7586B"/>
    <w:rPr>
      <w:rFonts w:ascii="Calibri" w:hAnsi="Calibri"/>
      <w:b/>
      <w:bCs/>
      <w:i/>
      <w:iCs/>
      <w:sz w:val="26"/>
      <w:szCs w:val="26"/>
      <w:lang w:eastAsia="en-US"/>
    </w:rPr>
  </w:style>
  <w:style w:type="character" w:customStyle="1" w:styleId="Heading6Char">
    <w:name w:val="Heading 6 Char"/>
    <w:link w:val="Heading6"/>
    <w:rsid w:val="00D7586B"/>
    <w:rPr>
      <w:rFonts w:ascii="Calibri" w:hAnsi="Calibri"/>
      <w:b/>
      <w:bCs/>
      <w:sz w:val="22"/>
      <w:szCs w:val="22"/>
      <w:lang w:eastAsia="en-US"/>
    </w:rPr>
  </w:style>
  <w:style w:type="character" w:customStyle="1" w:styleId="Heading7Char">
    <w:name w:val="Heading 7 Char"/>
    <w:link w:val="Heading7"/>
    <w:rsid w:val="00D7586B"/>
    <w:rPr>
      <w:rFonts w:ascii="Calibri" w:hAnsi="Calibri"/>
      <w:sz w:val="24"/>
      <w:szCs w:val="24"/>
      <w:lang w:eastAsia="en-US"/>
    </w:rPr>
  </w:style>
  <w:style w:type="character" w:customStyle="1" w:styleId="Heading8Char">
    <w:name w:val="Heading 8 Char"/>
    <w:link w:val="Heading8"/>
    <w:rsid w:val="00D7586B"/>
    <w:rPr>
      <w:rFonts w:ascii="Calibri" w:hAnsi="Calibri"/>
      <w:i/>
      <w:iCs/>
      <w:sz w:val="24"/>
      <w:szCs w:val="24"/>
      <w:lang w:eastAsia="en-US"/>
    </w:rPr>
  </w:style>
  <w:style w:type="character" w:customStyle="1" w:styleId="Heading9Char">
    <w:name w:val="Heading 9 Char"/>
    <w:link w:val="Heading9"/>
    <w:rsid w:val="00D7586B"/>
    <w:rPr>
      <w:rFonts w:ascii="Cambria" w:hAnsi="Cambria"/>
      <w:sz w:val="22"/>
      <w:szCs w:val="22"/>
      <w:lang w:eastAsia="en-US"/>
    </w:rPr>
  </w:style>
  <w:style w:type="character" w:customStyle="1" w:styleId="Heading1Char">
    <w:name w:val="Heading 1 Char"/>
    <w:link w:val="Heading1"/>
    <w:rsid w:val="006112A8"/>
    <w:rPr>
      <w:rFonts w:ascii="Arial Narrow" w:hAnsi="Arial Narrow"/>
      <w:b/>
      <w:kern w:val="28"/>
      <w:sz w:val="36"/>
      <w:lang w:eastAsia="en-US"/>
    </w:rPr>
  </w:style>
  <w:style w:type="paragraph" w:styleId="PlainText">
    <w:name w:val="Plain Text"/>
    <w:basedOn w:val="Normal"/>
    <w:link w:val="PlainTextChar"/>
    <w:uiPriority w:val="99"/>
    <w:unhideWhenUsed/>
    <w:rsid w:val="0089646D"/>
    <w:rPr>
      <w:rFonts w:ascii="Consolas" w:eastAsia="Calibri" w:hAnsi="Consolas"/>
      <w:sz w:val="21"/>
      <w:szCs w:val="21"/>
    </w:rPr>
  </w:style>
  <w:style w:type="character" w:customStyle="1" w:styleId="PlainTextChar">
    <w:name w:val="Plain Text Char"/>
    <w:link w:val="PlainText"/>
    <w:uiPriority w:val="99"/>
    <w:rsid w:val="0089646D"/>
    <w:rPr>
      <w:rFonts w:ascii="Consolas" w:eastAsia="Calibri" w:hAnsi="Consolas"/>
      <w:sz w:val="21"/>
      <w:szCs w:val="21"/>
      <w:lang w:eastAsia="en-US"/>
    </w:rPr>
  </w:style>
  <w:style w:type="character" w:styleId="FootnoteReference">
    <w:name w:val="footnote reference"/>
    <w:unhideWhenUsed/>
    <w:rsid w:val="0089646D"/>
    <w:rPr>
      <w:vertAlign w:val="superscript"/>
    </w:rPr>
  </w:style>
  <w:style w:type="character" w:customStyle="1" w:styleId="FootnoteTextChar">
    <w:name w:val="Footnote Text Char"/>
    <w:link w:val="FootnoteText"/>
    <w:uiPriority w:val="99"/>
    <w:rsid w:val="0089646D"/>
    <w:rPr>
      <w:sz w:val="16"/>
      <w:lang w:eastAsia="en-US"/>
    </w:rPr>
  </w:style>
  <w:style w:type="paragraph" w:customStyle="1" w:styleId="Default">
    <w:name w:val="Default"/>
    <w:rsid w:val="00CE4FA1"/>
    <w:pPr>
      <w:autoSpaceDE w:val="0"/>
      <w:autoSpaceDN w:val="0"/>
      <w:adjustRightInd w:val="0"/>
    </w:pPr>
    <w:rPr>
      <w:rFonts w:ascii="Arial Narrow" w:hAnsi="Arial Narrow" w:cs="Arial Narrow"/>
      <w:color w:val="000000"/>
      <w:sz w:val="24"/>
      <w:szCs w:val="24"/>
    </w:rPr>
  </w:style>
  <w:style w:type="paragraph" w:styleId="Caption">
    <w:name w:val="caption"/>
    <w:basedOn w:val="Normal"/>
    <w:next w:val="Normal"/>
    <w:qFormat/>
    <w:locked/>
    <w:rsid w:val="00432C18"/>
    <w:rPr>
      <w:b/>
      <w:bCs/>
      <w:sz w:val="20"/>
    </w:rPr>
  </w:style>
  <w:style w:type="paragraph" w:customStyle="1" w:styleId="ColorfulList-Accent11">
    <w:name w:val="Colorful List - Accent 11"/>
    <w:aliases w:val="Sustainable list"/>
    <w:basedOn w:val="Normal"/>
    <w:link w:val="ColorfulList-Accent1Char"/>
    <w:uiPriority w:val="34"/>
    <w:qFormat/>
    <w:rsid w:val="0062291B"/>
    <w:pPr>
      <w:spacing w:after="200" w:line="276" w:lineRule="auto"/>
      <w:ind w:left="720"/>
      <w:contextualSpacing/>
    </w:pPr>
    <w:rPr>
      <w:rFonts w:ascii="Calibri" w:hAnsi="Calibri"/>
      <w:sz w:val="22"/>
      <w:szCs w:val="22"/>
    </w:rPr>
  </w:style>
  <w:style w:type="character" w:customStyle="1" w:styleId="ColorfulList-Accent1Char">
    <w:name w:val="Colorful List - Accent 1 Char"/>
    <w:aliases w:val="Sustainable list Char,List Paragraph Char"/>
    <w:link w:val="ColorfulList-Accent11"/>
    <w:uiPriority w:val="34"/>
    <w:locked/>
    <w:rsid w:val="0062291B"/>
    <w:rPr>
      <w:rFonts w:ascii="Calibri" w:hAnsi="Calibri"/>
      <w:sz w:val="22"/>
      <w:szCs w:val="22"/>
      <w:lang w:eastAsia="en-US"/>
    </w:rPr>
  </w:style>
  <w:style w:type="character" w:customStyle="1" w:styleId="Heading3Char">
    <w:name w:val="Heading 3 Char"/>
    <w:link w:val="Heading3"/>
    <w:rsid w:val="0062291B"/>
    <w:rPr>
      <w:rFonts w:ascii="Arial Narrow" w:hAnsi="Arial Narrow"/>
      <w:b/>
      <w:kern w:val="28"/>
      <w:sz w:val="24"/>
      <w:lang w:eastAsia="en-US"/>
    </w:rPr>
  </w:style>
  <w:style w:type="character" w:styleId="CommentReference">
    <w:name w:val="annotation reference"/>
    <w:rsid w:val="00F950F7"/>
    <w:rPr>
      <w:sz w:val="16"/>
      <w:szCs w:val="16"/>
    </w:rPr>
  </w:style>
  <w:style w:type="paragraph" w:styleId="CommentText">
    <w:name w:val="annotation text"/>
    <w:basedOn w:val="Normal"/>
    <w:link w:val="CommentTextChar"/>
    <w:rsid w:val="00F950F7"/>
    <w:rPr>
      <w:sz w:val="20"/>
    </w:rPr>
  </w:style>
  <w:style w:type="character" w:customStyle="1" w:styleId="CommentTextChar">
    <w:name w:val="Comment Text Char"/>
    <w:link w:val="CommentText"/>
    <w:rsid w:val="00F950F7"/>
    <w:rPr>
      <w:lang w:eastAsia="en-US"/>
    </w:rPr>
  </w:style>
  <w:style w:type="paragraph" w:styleId="CommentSubject">
    <w:name w:val="annotation subject"/>
    <w:basedOn w:val="CommentText"/>
    <w:next w:val="CommentText"/>
    <w:link w:val="CommentSubjectChar"/>
    <w:rsid w:val="00F950F7"/>
    <w:rPr>
      <w:b/>
      <w:bCs/>
    </w:rPr>
  </w:style>
  <w:style w:type="character" w:customStyle="1" w:styleId="CommentSubjectChar">
    <w:name w:val="Comment Subject Char"/>
    <w:link w:val="CommentSubject"/>
    <w:rsid w:val="00F950F7"/>
    <w:rPr>
      <w:b/>
      <w:bCs/>
      <w:lang w:eastAsia="en-US"/>
    </w:rPr>
  </w:style>
  <w:style w:type="paragraph" w:styleId="BalloonText">
    <w:name w:val="Balloon Text"/>
    <w:basedOn w:val="Normal"/>
    <w:link w:val="BalloonTextChar"/>
    <w:locked/>
    <w:rsid w:val="00F950F7"/>
    <w:rPr>
      <w:rFonts w:ascii="Segoe UI" w:hAnsi="Segoe UI" w:cs="Segoe UI"/>
      <w:sz w:val="18"/>
      <w:szCs w:val="18"/>
    </w:rPr>
  </w:style>
  <w:style w:type="character" w:customStyle="1" w:styleId="BalloonTextChar">
    <w:name w:val="Balloon Text Char"/>
    <w:link w:val="BalloonText"/>
    <w:rsid w:val="00F950F7"/>
    <w:rPr>
      <w:rFonts w:ascii="Segoe UI" w:hAnsi="Segoe UI" w:cs="Segoe UI"/>
      <w:sz w:val="18"/>
      <w:szCs w:val="18"/>
      <w:lang w:eastAsia="en-US"/>
    </w:rPr>
  </w:style>
  <w:style w:type="paragraph" w:customStyle="1" w:styleId="ColorfulShading-Accent11">
    <w:name w:val="Colorful Shading - Accent 11"/>
    <w:hidden/>
    <w:uiPriority w:val="99"/>
    <w:semiHidden/>
    <w:rsid w:val="00D42F3E"/>
    <w:rPr>
      <w:sz w:val="24"/>
      <w:lang w:eastAsia="en-US"/>
    </w:rPr>
  </w:style>
  <w:style w:type="paragraph" w:styleId="ListParagraph">
    <w:name w:val="List Paragraph"/>
    <w:basedOn w:val="Normal"/>
    <w:uiPriority w:val="34"/>
    <w:qFormat/>
    <w:rsid w:val="00432C18"/>
    <w:pPr>
      <w:spacing w:after="200" w:line="276" w:lineRule="auto"/>
      <w:ind w:left="720"/>
      <w:contextualSpacing/>
    </w:pPr>
    <w:rPr>
      <w:rFonts w:ascii="Calibri" w:hAnsi="Calibri"/>
      <w:sz w:val="22"/>
      <w:szCs w:val="22"/>
    </w:rPr>
  </w:style>
  <w:style w:type="paragraph" w:styleId="Revision">
    <w:name w:val="Revision"/>
    <w:hidden/>
    <w:uiPriority w:val="99"/>
    <w:semiHidden/>
    <w:rsid w:val="00432C18"/>
    <w:rPr>
      <w:sz w:val="24"/>
      <w:lang w:eastAsia="en-US"/>
    </w:rPr>
  </w:style>
  <w:style w:type="character" w:customStyle="1" w:styleId="HeaderChar">
    <w:name w:val="Header Char"/>
    <w:basedOn w:val="DefaultParagraphFont"/>
    <w:link w:val="Header"/>
    <w:uiPriority w:val="99"/>
    <w:locked/>
    <w:rsid w:val="00DF306F"/>
    <w:rPr>
      <w:sz w:val="24"/>
      <w:lang w:eastAsia="en-US"/>
    </w:rPr>
  </w:style>
  <w:style w:type="paragraph" w:styleId="TOCHeading">
    <w:name w:val="TOC Heading"/>
    <w:basedOn w:val="Heading1"/>
    <w:next w:val="Normal"/>
    <w:uiPriority w:val="39"/>
    <w:unhideWhenUsed/>
    <w:qFormat/>
    <w:rsid w:val="00510B4B"/>
    <w:pPr>
      <w:keepLines/>
      <w:numPr>
        <w:numId w:val="0"/>
      </w:numPr>
      <w:spacing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paragraph" w:styleId="TOC3">
    <w:name w:val="toc 3"/>
    <w:basedOn w:val="Normal"/>
    <w:next w:val="Normal"/>
    <w:autoRedefine/>
    <w:uiPriority w:val="39"/>
    <w:locked/>
    <w:rsid w:val="00D36217"/>
    <w:pPr>
      <w:ind w:left="720"/>
    </w:pPr>
    <w:rPr>
      <w:rFonts w:ascii="Arial Narrow" w:hAnsi="Arial Narrow"/>
    </w:rPr>
  </w:style>
  <w:style w:type="paragraph" w:styleId="TOC4">
    <w:name w:val="toc 4"/>
    <w:basedOn w:val="Normal"/>
    <w:next w:val="Normal"/>
    <w:autoRedefine/>
    <w:locked/>
    <w:rsid w:val="00FC100C"/>
    <w:pPr>
      <w:ind w:left="720"/>
    </w:pPr>
    <w:rPr>
      <w:rFonts w:asciiTheme="minorHAnsi" w:hAnsiTheme="minorHAnsi"/>
      <w:sz w:val="20"/>
    </w:rPr>
  </w:style>
  <w:style w:type="paragraph" w:styleId="TOC5">
    <w:name w:val="toc 5"/>
    <w:basedOn w:val="Normal"/>
    <w:next w:val="Normal"/>
    <w:autoRedefine/>
    <w:locked/>
    <w:rsid w:val="00FC100C"/>
    <w:pPr>
      <w:ind w:left="960"/>
    </w:pPr>
    <w:rPr>
      <w:rFonts w:asciiTheme="minorHAnsi" w:hAnsiTheme="minorHAnsi"/>
      <w:sz w:val="20"/>
    </w:rPr>
  </w:style>
  <w:style w:type="paragraph" w:styleId="TOC6">
    <w:name w:val="toc 6"/>
    <w:basedOn w:val="Normal"/>
    <w:next w:val="Normal"/>
    <w:autoRedefine/>
    <w:locked/>
    <w:rsid w:val="00FC100C"/>
    <w:pPr>
      <w:ind w:left="1200"/>
    </w:pPr>
    <w:rPr>
      <w:rFonts w:asciiTheme="minorHAnsi" w:hAnsiTheme="minorHAnsi"/>
      <w:sz w:val="20"/>
    </w:rPr>
  </w:style>
  <w:style w:type="paragraph" w:styleId="TOC7">
    <w:name w:val="toc 7"/>
    <w:basedOn w:val="Normal"/>
    <w:next w:val="Normal"/>
    <w:autoRedefine/>
    <w:locked/>
    <w:rsid w:val="00FC100C"/>
    <w:pPr>
      <w:ind w:left="1440"/>
    </w:pPr>
    <w:rPr>
      <w:rFonts w:asciiTheme="minorHAnsi" w:hAnsiTheme="minorHAnsi"/>
      <w:sz w:val="20"/>
    </w:rPr>
  </w:style>
  <w:style w:type="paragraph" w:styleId="TOC8">
    <w:name w:val="toc 8"/>
    <w:basedOn w:val="Normal"/>
    <w:next w:val="Normal"/>
    <w:autoRedefine/>
    <w:locked/>
    <w:rsid w:val="00FC100C"/>
    <w:pPr>
      <w:ind w:left="1680"/>
    </w:pPr>
    <w:rPr>
      <w:rFonts w:asciiTheme="minorHAnsi" w:hAnsiTheme="minorHAnsi"/>
      <w:sz w:val="20"/>
    </w:rPr>
  </w:style>
  <w:style w:type="paragraph" w:styleId="TOC9">
    <w:name w:val="toc 9"/>
    <w:basedOn w:val="Normal"/>
    <w:next w:val="Normal"/>
    <w:autoRedefine/>
    <w:locked/>
    <w:rsid w:val="00FC100C"/>
    <w:pPr>
      <w:ind w:left="1920"/>
    </w:pPr>
    <w:rPr>
      <w:rFonts w:asciiTheme="minorHAnsi" w:hAnsiTheme="minorHAnsi"/>
      <w:sz w:val="20"/>
    </w:rPr>
  </w:style>
  <w:style w:type="character" w:customStyle="1" w:styleId="apple-converted-space">
    <w:name w:val="apple-converted-space"/>
    <w:basedOn w:val="DefaultParagraphFont"/>
    <w:rsid w:val="00367ADE"/>
  </w:style>
  <w:style w:type="character" w:styleId="Emphasis">
    <w:name w:val="Emphasis"/>
    <w:basedOn w:val="DefaultParagraphFont"/>
    <w:uiPriority w:val="20"/>
    <w:qFormat/>
    <w:locked/>
    <w:rsid w:val="00367ADE"/>
    <w:rPr>
      <w:i/>
      <w:iCs/>
    </w:rPr>
  </w:style>
  <w:style w:type="paragraph" w:customStyle="1" w:styleId="text">
    <w:name w:val="text"/>
    <w:basedOn w:val="Normal"/>
    <w:rsid w:val="00B450B9"/>
    <w:pPr>
      <w:spacing w:before="100" w:beforeAutospacing="1" w:after="100" w:afterAutospacing="1"/>
    </w:pPr>
    <w:rPr>
      <w:szCs w:val="24"/>
      <w:lang w:eastAsia="en-NZ"/>
    </w:rPr>
  </w:style>
  <w:style w:type="character" w:customStyle="1" w:styleId="label">
    <w:name w:val="label"/>
    <w:basedOn w:val="DefaultParagraphFont"/>
    <w:rsid w:val="00B450B9"/>
  </w:style>
  <w:style w:type="paragraph" w:customStyle="1" w:styleId="subprov">
    <w:name w:val="subprov"/>
    <w:basedOn w:val="Normal"/>
    <w:rsid w:val="003A03A2"/>
    <w:pPr>
      <w:spacing w:before="100" w:beforeAutospacing="1" w:after="100" w:afterAutospacing="1"/>
    </w:pPr>
    <w:rPr>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39255">
      <w:bodyDiv w:val="1"/>
      <w:marLeft w:val="0"/>
      <w:marRight w:val="0"/>
      <w:marTop w:val="0"/>
      <w:marBottom w:val="0"/>
      <w:divBdr>
        <w:top w:val="none" w:sz="0" w:space="0" w:color="auto"/>
        <w:left w:val="none" w:sz="0" w:space="0" w:color="auto"/>
        <w:bottom w:val="none" w:sz="0" w:space="0" w:color="auto"/>
        <w:right w:val="none" w:sz="0" w:space="0" w:color="auto"/>
      </w:divBdr>
      <w:divsChild>
        <w:div w:id="215556162">
          <w:marLeft w:val="0"/>
          <w:marRight w:val="0"/>
          <w:marTop w:val="83"/>
          <w:marBottom w:val="0"/>
          <w:divBdr>
            <w:top w:val="none" w:sz="0" w:space="0" w:color="auto"/>
            <w:left w:val="none" w:sz="0" w:space="0" w:color="auto"/>
            <w:bottom w:val="none" w:sz="0" w:space="0" w:color="auto"/>
            <w:right w:val="none" w:sz="0" w:space="0" w:color="auto"/>
          </w:divBdr>
        </w:div>
      </w:divsChild>
    </w:div>
    <w:div w:id="375011117">
      <w:bodyDiv w:val="1"/>
      <w:marLeft w:val="0"/>
      <w:marRight w:val="0"/>
      <w:marTop w:val="0"/>
      <w:marBottom w:val="0"/>
      <w:divBdr>
        <w:top w:val="none" w:sz="0" w:space="0" w:color="auto"/>
        <w:left w:val="none" w:sz="0" w:space="0" w:color="auto"/>
        <w:bottom w:val="none" w:sz="0" w:space="0" w:color="auto"/>
        <w:right w:val="none" w:sz="0" w:space="0" w:color="auto"/>
      </w:divBdr>
      <w:divsChild>
        <w:div w:id="811560905">
          <w:marLeft w:val="0"/>
          <w:marRight w:val="0"/>
          <w:marTop w:val="83"/>
          <w:marBottom w:val="0"/>
          <w:divBdr>
            <w:top w:val="none" w:sz="0" w:space="0" w:color="auto"/>
            <w:left w:val="none" w:sz="0" w:space="0" w:color="auto"/>
            <w:bottom w:val="none" w:sz="0" w:space="0" w:color="auto"/>
            <w:right w:val="none" w:sz="0" w:space="0" w:color="auto"/>
          </w:divBdr>
        </w:div>
      </w:divsChild>
    </w:div>
    <w:div w:id="663051858">
      <w:bodyDiv w:val="1"/>
      <w:marLeft w:val="0"/>
      <w:marRight w:val="0"/>
      <w:marTop w:val="0"/>
      <w:marBottom w:val="0"/>
      <w:divBdr>
        <w:top w:val="none" w:sz="0" w:space="0" w:color="auto"/>
        <w:left w:val="none" w:sz="0" w:space="0" w:color="auto"/>
        <w:bottom w:val="none" w:sz="0" w:space="0" w:color="auto"/>
        <w:right w:val="none" w:sz="0" w:space="0" w:color="auto"/>
      </w:divBdr>
    </w:div>
    <w:div w:id="990789266">
      <w:bodyDiv w:val="1"/>
      <w:marLeft w:val="0"/>
      <w:marRight w:val="0"/>
      <w:marTop w:val="0"/>
      <w:marBottom w:val="0"/>
      <w:divBdr>
        <w:top w:val="none" w:sz="0" w:space="0" w:color="auto"/>
        <w:left w:val="none" w:sz="0" w:space="0" w:color="auto"/>
        <w:bottom w:val="none" w:sz="0" w:space="0" w:color="auto"/>
        <w:right w:val="none" w:sz="0" w:space="0" w:color="auto"/>
      </w:divBdr>
    </w:div>
    <w:div w:id="1259755567">
      <w:bodyDiv w:val="1"/>
      <w:marLeft w:val="0"/>
      <w:marRight w:val="0"/>
      <w:marTop w:val="0"/>
      <w:marBottom w:val="0"/>
      <w:divBdr>
        <w:top w:val="none" w:sz="0" w:space="0" w:color="auto"/>
        <w:left w:val="none" w:sz="0" w:space="0" w:color="auto"/>
        <w:bottom w:val="none" w:sz="0" w:space="0" w:color="auto"/>
        <w:right w:val="none" w:sz="0" w:space="0" w:color="auto"/>
      </w:divBdr>
    </w:div>
    <w:div w:id="1382561481">
      <w:bodyDiv w:val="1"/>
      <w:marLeft w:val="0"/>
      <w:marRight w:val="0"/>
      <w:marTop w:val="0"/>
      <w:marBottom w:val="0"/>
      <w:divBdr>
        <w:top w:val="none" w:sz="0" w:space="0" w:color="auto"/>
        <w:left w:val="none" w:sz="0" w:space="0" w:color="auto"/>
        <w:bottom w:val="none" w:sz="0" w:space="0" w:color="auto"/>
        <w:right w:val="none" w:sz="0" w:space="0" w:color="auto"/>
      </w:divBdr>
      <w:divsChild>
        <w:div w:id="8486087">
          <w:marLeft w:val="0"/>
          <w:marRight w:val="0"/>
          <w:marTop w:val="83"/>
          <w:marBottom w:val="0"/>
          <w:divBdr>
            <w:top w:val="none" w:sz="0" w:space="0" w:color="auto"/>
            <w:left w:val="none" w:sz="0" w:space="0" w:color="auto"/>
            <w:bottom w:val="none" w:sz="0" w:space="0" w:color="auto"/>
            <w:right w:val="none" w:sz="0" w:space="0" w:color="auto"/>
          </w:divBdr>
        </w:div>
        <w:div w:id="2140222072">
          <w:marLeft w:val="0"/>
          <w:marRight w:val="0"/>
          <w:marTop w:val="83"/>
          <w:marBottom w:val="0"/>
          <w:divBdr>
            <w:top w:val="none" w:sz="0" w:space="0" w:color="auto"/>
            <w:left w:val="none" w:sz="0" w:space="0" w:color="auto"/>
            <w:bottom w:val="none" w:sz="0" w:space="0" w:color="auto"/>
            <w:right w:val="none" w:sz="0" w:space="0" w:color="auto"/>
          </w:divBdr>
        </w:div>
        <w:div w:id="794834538">
          <w:marLeft w:val="0"/>
          <w:marRight w:val="0"/>
          <w:marTop w:val="83"/>
          <w:marBottom w:val="0"/>
          <w:divBdr>
            <w:top w:val="none" w:sz="0" w:space="0" w:color="auto"/>
            <w:left w:val="none" w:sz="0" w:space="0" w:color="auto"/>
            <w:bottom w:val="none" w:sz="0" w:space="0" w:color="auto"/>
            <w:right w:val="none" w:sz="0" w:space="0" w:color="auto"/>
          </w:divBdr>
        </w:div>
        <w:div w:id="656348454">
          <w:marLeft w:val="0"/>
          <w:marRight w:val="0"/>
          <w:marTop w:val="83"/>
          <w:marBottom w:val="0"/>
          <w:divBdr>
            <w:top w:val="none" w:sz="0" w:space="0" w:color="auto"/>
            <w:left w:val="none" w:sz="0" w:space="0" w:color="auto"/>
            <w:bottom w:val="none" w:sz="0" w:space="0" w:color="auto"/>
            <w:right w:val="none" w:sz="0" w:space="0" w:color="auto"/>
          </w:divBdr>
        </w:div>
      </w:divsChild>
    </w:div>
    <w:div w:id="1441946756">
      <w:bodyDiv w:val="1"/>
      <w:marLeft w:val="0"/>
      <w:marRight w:val="0"/>
      <w:marTop w:val="0"/>
      <w:marBottom w:val="0"/>
      <w:divBdr>
        <w:top w:val="none" w:sz="0" w:space="0" w:color="auto"/>
        <w:left w:val="none" w:sz="0" w:space="0" w:color="auto"/>
        <w:bottom w:val="none" w:sz="0" w:space="0" w:color="auto"/>
        <w:right w:val="none" w:sz="0" w:space="0" w:color="auto"/>
      </w:divBdr>
    </w:div>
    <w:div w:id="1530101261">
      <w:bodyDiv w:val="1"/>
      <w:marLeft w:val="0"/>
      <w:marRight w:val="0"/>
      <w:marTop w:val="0"/>
      <w:marBottom w:val="0"/>
      <w:divBdr>
        <w:top w:val="none" w:sz="0" w:space="0" w:color="auto"/>
        <w:left w:val="none" w:sz="0" w:space="0" w:color="auto"/>
        <w:bottom w:val="none" w:sz="0" w:space="0" w:color="auto"/>
        <w:right w:val="none" w:sz="0" w:space="0" w:color="auto"/>
      </w:divBdr>
    </w:div>
    <w:div w:id="1688632441">
      <w:bodyDiv w:val="1"/>
      <w:marLeft w:val="0"/>
      <w:marRight w:val="0"/>
      <w:marTop w:val="0"/>
      <w:marBottom w:val="0"/>
      <w:divBdr>
        <w:top w:val="none" w:sz="0" w:space="0" w:color="auto"/>
        <w:left w:val="none" w:sz="0" w:space="0" w:color="auto"/>
        <w:bottom w:val="none" w:sz="0" w:space="0" w:color="auto"/>
        <w:right w:val="none" w:sz="0" w:space="0" w:color="auto"/>
      </w:divBdr>
    </w:div>
    <w:div w:id="1698693651">
      <w:bodyDiv w:val="1"/>
      <w:marLeft w:val="0"/>
      <w:marRight w:val="0"/>
      <w:marTop w:val="0"/>
      <w:marBottom w:val="0"/>
      <w:divBdr>
        <w:top w:val="none" w:sz="0" w:space="0" w:color="auto"/>
        <w:left w:val="none" w:sz="0" w:space="0" w:color="auto"/>
        <w:bottom w:val="none" w:sz="0" w:space="0" w:color="auto"/>
        <w:right w:val="none" w:sz="0" w:space="0" w:color="auto"/>
      </w:divBdr>
      <w:divsChild>
        <w:div w:id="1713379538">
          <w:marLeft w:val="75"/>
          <w:marRight w:val="0"/>
          <w:marTop w:val="75"/>
          <w:marBottom w:val="0"/>
          <w:divBdr>
            <w:top w:val="none" w:sz="0" w:space="0" w:color="auto"/>
            <w:left w:val="none" w:sz="0" w:space="0" w:color="auto"/>
            <w:bottom w:val="none" w:sz="0" w:space="0" w:color="auto"/>
            <w:right w:val="none" w:sz="0" w:space="0" w:color="auto"/>
          </w:divBdr>
        </w:div>
        <w:div w:id="973757666">
          <w:marLeft w:val="75"/>
          <w:marRight w:val="0"/>
          <w:marTop w:val="75"/>
          <w:marBottom w:val="0"/>
          <w:divBdr>
            <w:top w:val="none" w:sz="0" w:space="0" w:color="auto"/>
            <w:left w:val="none" w:sz="0" w:space="0" w:color="auto"/>
            <w:bottom w:val="none" w:sz="0" w:space="0" w:color="auto"/>
            <w:right w:val="none" w:sz="0" w:space="0" w:color="auto"/>
          </w:divBdr>
        </w:div>
      </w:divsChild>
    </w:div>
    <w:div w:id="1698964875">
      <w:bodyDiv w:val="1"/>
      <w:marLeft w:val="0"/>
      <w:marRight w:val="0"/>
      <w:marTop w:val="0"/>
      <w:marBottom w:val="0"/>
      <w:divBdr>
        <w:top w:val="none" w:sz="0" w:space="0" w:color="auto"/>
        <w:left w:val="none" w:sz="0" w:space="0" w:color="auto"/>
        <w:bottom w:val="none" w:sz="0" w:space="0" w:color="auto"/>
        <w:right w:val="none" w:sz="0" w:space="0" w:color="auto"/>
      </w:divBdr>
    </w:div>
    <w:div w:id="1858541421">
      <w:bodyDiv w:val="1"/>
      <w:marLeft w:val="0"/>
      <w:marRight w:val="0"/>
      <w:marTop w:val="0"/>
      <w:marBottom w:val="0"/>
      <w:divBdr>
        <w:top w:val="none" w:sz="0" w:space="0" w:color="auto"/>
        <w:left w:val="none" w:sz="0" w:space="0" w:color="auto"/>
        <w:bottom w:val="none" w:sz="0" w:space="0" w:color="auto"/>
        <w:right w:val="none" w:sz="0" w:space="0" w:color="auto"/>
      </w:divBdr>
      <w:divsChild>
        <w:div w:id="1489008722">
          <w:marLeft w:val="0"/>
          <w:marRight w:val="0"/>
          <w:marTop w:val="83"/>
          <w:marBottom w:val="0"/>
          <w:divBdr>
            <w:top w:val="none" w:sz="0" w:space="0" w:color="auto"/>
            <w:left w:val="none" w:sz="0" w:space="0" w:color="auto"/>
            <w:bottom w:val="none" w:sz="0" w:space="0" w:color="auto"/>
            <w:right w:val="none" w:sz="0" w:space="0" w:color="auto"/>
          </w:divBdr>
        </w:div>
        <w:div w:id="271790968">
          <w:marLeft w:val="0"/>
          <w:marRight w:val="0"/>
          <w:marTop w:val="83"/>
          <w:marBottom w:val="0"/>
          <w:divBdr>
            <w:top w:val="none" w:sz="0" w:space="0" w:color="auto"/>
            <w:left w:val="none" w:sz="0" w:space="0" w:color="auto"/>
            <w:bottom w:val="none" w:sz="0" w:space="0" w:color="auto"/>
            <w:right w:val="none" w:sz="0" w:space="0" w:color="auto"/>
          </w:divBdr>
        </w:div>
        <w:div w:id="394622304">
          <w:marLeft w:val="0"/>
          <w:marRight w:val="0"/>
          <w:marTop w:val="83"/>
          <w:marBottom w:val="0"/>
          <w:divBdr>
            <w:top w:val="none" w:sz="0" w:space="0" w:color="auto"/>
            <w:left w:val="none" w:sz="0" w:space="0" w:color="auto"/>
            <w:bottom w:val="none" w:sz="0" w:space="0" w:color="auto"/>
            <w:right w:val="none" w:sz="0" w:space="0" w:color="auto"/>
          </w:divBdr>
        </w:div>
        <w:div w:id="518203807">
          <w:marLeft w:val="0"/>
          <w:marRight w:val="0"/>
          <w:marTop w:val="83"/>
          <w:marBottom w:val="0"/>
          <w:divBdr>
            <w:top w:val="none" w:sz="0" w:space="0" w:color="auto"/>
            <w:left w:val="none" w:sz="0" w:space="0" w:color="auto"/>
            <w:bottom w:val="none" w:sz="0" w:space="0" w:color="auto"/>
            <w:right w:val="none" w:sz="0" w:space="0" w:color="auto"/>
          </w:divBdr>
        </w:div>
        <w:div w:id="1579708519">
          <w:marLeft w:val="0"/>
          <w:marRight w:val="0"/>
          <w:marTop w:val="83"/>
          <w:marBottom w:val="0"/>
          <w:divBdr>
            <w:top w:val="none" w:sz="0" w:space="0" w:color="auto"/>
            <w:left w:val="none" w:sz="0" w:space="0" w:color="auto"/>
            <w:bottom w:val="none" w:sz="0" w:space="0" w:color="auto"/>
            <w:right w:val="none" w:sz="0" w:space="0" w:color="auto"/>
          </w:divBdr>
        </w:div>
        <w:div w:id="1048994666">
          <w:marLeft w:val="0"/>
          <w:marRight w:val="0"/>
          <w:marTop w:val="83"/>
          <w:marBottom w:val="0"/>
          <w:divBdr>
            <w:top w:val="none" w:sz="0" w:space="0" w:color="auto"/>
            <w:left w:val="none" w:sz="0" w:space="0" w:color="auto"/>
            <w:bottom w:val="none" w:sz="0" w:space="0" w:color="auto"/>
            <w:right w:val="none" w:sz="0" w:space="0" w:color="auto"/>
          </w:divBdr>
        </w:div>
      </w:divsChild>
    </w:div>
    <w:div w:id="1876110937">
      <w:bodyDiv w:val="1"/>
      <w:marLeft w:val="0"/>
      <w:marRight w:val="0"/>
      <w:marTop w:val="0"/>
      <w:marBottom w:val="0"/>
      <w:divBdr>
        <w:top w:val="none" w:sz="0" w:space="0" w:color="auto"/>
        <w:left w:val="none" w:sz="0" w:space="0" w:color="auto"/>
        <w:bottom w:val="none" w:sz="0" w:space="0" w:color="auto"/>
        <w:right w:val="none" w:sz="0" w:space="0" w:color="auto"/>
      </w:divBdr>
    </w:div>
    <w:div w:id="2026244787">
      <w:bodyDiv w:val="1"/>
      <w:marLeft w:val="0"/>
      <w:marRight w:val="0"/>
      <w:marTop w:val="0"/>
      <w:marBottom w:val="0"/>
      <w:divBdr>
        <w:top w:val="none" w:sz="0" w:space="0" w:color="auto"/>
        <w:left w:val="none" w:sz="0" w:space="0" w:color="auto"/>
        <w:bottom w:val="none" w:sz="0" w:space="0" w:color="auto"/>
        <w:right w:val="none" w:sz="0" w:space="0" w:color="auto"/>
      </w:divBdr>
      <w:divsChild>
        <w:div w:id="1307977790">
          <w:marLeft w:val="0"/>
          <w:marRight w:val="0"/>
          <w:marTop w:val="83"/>
          <w:marBottom w:val="0"/>
          <w:divBdr>
            <w:top w:val="none" w:sz="0" w:space="0" w:color="auto"/>
            <w:left w:val="none" w:sz="0" w:space="0" w:color="auto"/>
            <w:bottom w:val="none" w:sz="0" w:space="0" w:color="auto"/>
            <w:right w:val="none" w:sz="0" w:space="0" w:color="auto"/>
          </w:divBdr>
        </w:div>
      </w:divsChild>
    </w:div>
    <w:div w:id="20779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rand@mpi.govt.nz" TargetMode="Externa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s://data.dragonfly.co.nz/psc/v20121101/about.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pi.govt.nz/news-resources/publications.aspx" TargetMode="External"/><Relationship Id="rId22" Type="http://schemas.openxmlformats.org/officeDocument/2006/relationships/hyperlink" Target="mailto:FMsubmissions@mpi.govt.nz"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ngja\Desktop\MPI%20Templates\MPI%20Report%20Template.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wlgfs1\common\DeepWater\01%20Fish%20Stock%20Management\06%20Squid\SQU1J\Catch,%20TACC,%20vessels%20graph.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3"/>
          <c:order val="3"/>
          <c:tx>
            <c:strRef>
              <c:f>[1]Sheet3!$E$1</c:f>
              <c:strCache>
                <c:ptCount val="1"/>
                <c:pt idx="0">
                  <c:v>Landings (t)</c:v>
                </c:pt>
              </c:strCache>
            </c:strRef>
          </c:tx>
          <c:spPr>
            <a:solidFill>
              <a:schemeClr val="accent6">
                <a:lumMod val="75000"/>
              </a:schemeClr>
            </a:solidFill>
            <a:ln>
              <a:solidFill>
                <a:schemeClr val="tx1"/>
              </a:solidFill>
            </a:ln>
            <a:effectLst/>
          </c:spPr>
          <c:invertIfNegative val="0"/>
          <c:cat>
            <c:strRef>
              <c:f>[1]Sheet3!$A$2:$A$26</c:f>
              <c:strCache>
                <c:ptCount val="25"/>
                <c:pt idx="0">
                  <c:v>1990/91</c:v>
                </c:pt>
                <c:pt idx="1">
                  <c:v>1991/92</c:v>
                </c:pt>
                <c:pt idx="2">
                  <c:v>1992/93</c:v>
                </c:pt>
                <c:pt idx="3">
                  <c:v>1993/94</c:v>
                </c:pt>
                <c:pt idx="4">
                  <c:v>1994/95</c:v>
                </c:pt>
                <c:pt idx="5">
                  <c:v>1995/96</c:v>
                </c:pt>
                <c:pt idx="6">
                  <c:v>1996/97</c:v>
                </c:pt>
                <c:pt idx="7">
                  <c:v>1997/98</c:v>
                </c:pt>
                <c:pt idx="8">
                  <c:v>1998/99</c:v>
                </c:pt>
                <c:pt idx="9">
                  <c:v>1999/00</c:v>
                </c:pt>
                <c:pt idx="10">
                  <c:v>2000/01</c:v>
                </c:pt>
                <c:pt idx="11">
                  <c:v>2001/02</c:v>
                </c:pt>
                <c:pt idx="12">
                  <c:v>2002/03</c:v>
                </c:pt>
                <c:pt idx="13">
                  <c:v>2003/04</c:v>
                </c:pt>
                <c:pt idx="14">
                  <c:v>2004/05</c:v>
                </c:pt>
                <c:pt idx="15">
                  <c:v>2005/06</c:v>
                </c:pt>
                <c:pt idx="16">
                  <c:v>2006/07</c:v>
                </c:pt>
                <c:pt idx="17">
                  <c:v>2007/08</c:v>
                </c:pt>
                <c:pt idx="18">
                  <c:v>2008/09</c:v>
                </c:pt>
                <c:pt idx="19">
                  <c:v>2009/10</c:v>
                </c:pt>
                <c:pt idx="20">
                  <c:v>2010/11</c:v>
                </c:pt>
                <c:pt idx="21">
                  <c:v>2011/12</c:v>
                </c:pt>
                <c:pt idx="22">
                  <c:v>2012/13</c:v>
                </c:pt>
                <c:pt idx="23">
                  <c:v>2013/14</c:v>
                </c:pt>
                <c:pt idx="24">
                  <c:v>2014/15</c:v>
                </c:pt>
              </c:strCache>
            </c:strRef>
          </c:cat>
          <c:val>
            <c:numRef>
              <c:f>[1]Sheet3!$E$2:$E$26</c:f>
              <c:numCache>
                <c:formatCode>_-* #,##0_-;\-* #,##0_-;_-* "-"??_-;_-@_-</c:formatCode>
                <c:ptCount val="25"/>
                <c:pt idx="0">
                  <c:v>11562</c:v>
                </c:pt>
                <c:pt idx="1">
                  <c:v>12985</c:v>
                </c:pt>
                <c:pt idx="2">
                  <c:v>4865</c:v>
                </c:pt>
                <c:pt idx="3">
                  <c:v>6524</c:v>
                </c:pt>
                <c:pt idx="4">
                  <c:v>33615</c:v>
                </c:pt>
                <c:pt idx="5">
                  <c:v>30805</c:v>
                </c:pt>
                <c:pt idx="6">
                  <c:v>20792</c:v>
                </c:pt>
                <c:pt idx="7">
                  <c:v>9329</c:v>
                </c:pt>
                <c:pt idx="8">
                  <c:v>3240</c:v>
                </c:pt>
                <c:pt idx="9">
                  <c:v>1457</c:v>
                </c:pt>
                <c:pt idx="10">
                  <c:v>521</c:v>
                </c:pt>
                <c:pt idx="11">
                  <c:v>799</c:v>
                </c:pt>
                <c:pt idx="12">
                  <c:v>2896</c:v>
                </c:pt>
                <c:pt idx="13">
                  <c:v>2267</c:v>
                </c:pt>
                <c:pt idx="14">
                  <c:v>8981</c:v>
                </c:pt>
                <c:pt idx="15">
                  <c:v>5844</c:v>
                </c:pt>
                <c:pt idx="16">
                  <c:v>2278</c:v>
                </c:pt>
                <c:pt idx="17">
                  <c:v>1371</c:v>
                </c:pt>
                <c:pt idx="18">
                  <c:v>1032</c:v>
                </c:pt>
                <c:pt idx="19">
                  <c:v>891</c:v>
                </c:pt>
                <c:pt idx="20">
                  <c:v>1414</c:v>
                </c:pt>
                <c:pt idx="21">
                  <c:v>1811</c:v>
                </c:pt>
                <c:pt idx="22">
                  <c:v>741</c:v>
                </c:pt>
                <c:pt idx="23">
                  <c:v>167</c:v>
                </c:pt>
                <c:pt idx="24">
                  <c:v>515</c:v>
                </c:pt>
              </c:numCache>
            </c:numRef>
          </c:val>
        </c:ser>
        <c:dLbls>
          <c:showLegendKey val="0"/>
          <c:showVal val="0"/>
          <c:showCatName val="0"/>
          <c:showSerName val="0"/>
          <c:showPercent val="0"/>
          <c:showBubbleSize val="0"/>
        </c:dLbls>
        <c:gapWidth val="32"/>
        <c:axId val="279591376"/>
        <c:axId val="279592160"/>
        <c:extLst>
          <c:ext xmlns:c15="http://schemas.microsoft.com/office/drawing/2012/chart" uri="{02D57815-91ED-43cb-92C2-25804820EDAC}">
            <c15:filteredBarSeries>
              <c15:ser>
                <c:idx val="0"/>
                <c:order val="0"/>
                <c:tx>
                  <c:strRef>
                    <c:extLst>
                      <c:ext uri="{02D57815-91ED-43cb-92C2-25804820EDAC}">
                        <c15:formulaRef>
                          <c15:sqref>[1]Sheet3!$B$1</c15:sqref>
                        </c15:formulaRef>
                      </c:ext>
                    </c:extLst>
                    <c:strCache>
                      <c:ptCount val="1"/>
                      <c:pt idx="0">
                        <c:v>From FIS (tonnes)</c:v>
                      </c:pt>
                    </c:strCache>
                  </c:strRef>
                </c:tx>
                <c:spPr>
                  <a:solidFill>
                    <a:schemeClr val="accent1"/>
                  </a:solidFill>
                  <a:ln>
                    <a:noFill/>
                  </a:ln>
                  <a:effectLst/>
                </c:spPr>
                <c:invertIfNegative val="0"/>
                <c:cat>
                  <c:strRef>
                    <c:extLst>
                      <c:ext uri="{02D57815-91ED-43cb-92C2-25804820EDAC}">
                        <c15:formulaRef>
                          <c15:sqref>[1]Sheet3!$A$2:$A$26</c15:sqref>
                        </c15:formulaRef>
                      </c:ext>
                    </c:extLst>
                    <c:strCache>
                      <c:ptCount val="25"/>
                      <c:pt idx="0">
                        <c:v>1990/91</c:v>
                      </c:pt>
                      <c:pt idx="1">
                        <c:v>1991/92</c:v>
                      </c:pt>
                      <c:pt idx="2">
                        <c:v>1992/93</c:v>
                      </c:pt>
                      <c:pt idx="3">
                        <c:v>1993/94</c:v>
                      </c:pt>
                      <c:pt idx="4">
                        <c:v>1994/95</c:v>
                      </c:pt>
                      <c:pt idx="5">
                        <c:v>1995/96</c:v>
                      </c:pt>
                      <c:pt idx="6">
                        <c:v>1996/97</c:v>
                      </c:pt>
                      <c:pt idx="7">
                        <c:v>1997/98</c:v>
                      </c:pt>
                      <c:pt idx="8">
                        <c:v>1998/99</c:v>
                      </c:pt>
                      <c:pt idx="9">
                        <c:v>1999/00</c:v>
                      </c:pt>
                      <c:pt idx="10">
                        <c:v>2000/01</c:v>
                      </c:pt>
                      <c:pt idx="11">
                        <c:v>2001/02</c:v>
                      </c:pt>
                      <c:pt idx="12">
                        <c:v>2002/03</c:v>
                      </c:pt>
                      <c:pt idx="13">
                        <c:v>2003/04</c:v>
                      </c:pt>
                      <c:pt idx="14">
                        <c:v>2004/05</c:v>
                      </c:pt>
                      <c:pt idx="15">
                        <c:v>2005/06</c:v>
                      </c:pt>
                      <c:pt idx="16">
                        <c:v>2006/07</c:v>
                      </c:pt>
                      <c:pt idx="17">
                        <c:v>2007/08</c:v>
                      </c:pt>
                      <c:pt idx="18">
                        <c:v>2008/09</c:v>
                      </c:pt>
                      <c:pt idx="19">
                        <c:v>2009/10</c:v>
                      </c:pt>
                      <c:pt idx="20">
                        <c:v>2010/11</c:v>
                      </c:pt>
                      <c:pt idx="21">
                        <c:v>2011/12</c:v>
                      </c:pt>
                      <c:pt idx="22">
                        <c:v>2012/13</c:v>
                      </c:pt>
                      <c:pt idx="23">
                        <c:v>2013/14</c:v>
                      </c:pt>
                      <c:pt idx="24">
                        <c:v>2014/15</c:v>
                      </c:pt>
                    </c:strCache>
                  </c:strRef>
                </c:cat>
                <c:val>
                  <c:numRef>
                    <c:extLst>
                      <c:ext uri="{02D57815-91ED-43cb-92C2-25804820EDAC}">
                        <c15:formulaRef>
                          <c15:sqref>[1]Sheet3!$B$2:$B$26</c15:sqref>
                        </c15:formulaRef>
                      </c:ext>
                    </c:extLst>
                    <c:numCache>
                      <c:formatCode>_-* #,##0_-;\-* #,##0_-;_-* "-"??_-;_-@_-</c:formatCode>
                      <c:ptCount val="25"/>
                      <c:pt idx="0">
                        <c:v>8568.8459999999995</c:v>
                      </c:pt>
                      <c:pt idx="1">
                        <c:v>11876.281999999999</c:v>
                      </c:pt>
                      <c:pt idx="2">
                        <c:v>5355.8649999999998</c:v>
                      </c:pt>
                      <c:pt idx="3">
                        <c:v>6005.19</c:v>
                      </c:pt>
                      <c:pt idx="4">
                        <c:v>31610.877100000002</c:v>
                      </c:pt>
                      <c:pt idx="5">
                        <c:v>27103.721619999993</c:v>
                      </c:pt>
                      <c:pt idx="6">
                        <c:v>20892.348959999999</c:v>
                      </c:pt>
                      <c:pt idx="7">
                        <c:v>8938.1895999999997</c:v>
                      </c:pt>
                      <c:pt idx="8">
                        <c:v>3090.2966000000001</c:v>
                      </c:pt>
                      <c:pt idx="9">
                        <c:v>1492.1010000000001</c:v>
                      </c:pt>
                      <c:pt idx="10">
                        <c:v>519.94399999999996</c:v>
                      </c:pt>
                      <c:pt idx="11">
                        <c:v>715.25599999999997</c:v>
                      </c:pt>
                      <c:pt idx="12">
                        <c:v>2723.8440000000001</c:v>
                      </c:pt>
                      <c:pt idx="13">
                        <c:v>2198.1096699999998</c:v>
                      </c:pt>
                      <c:pt idx="14">
                        <c:v>8989.7046999999984</c:v>
                      </c:pt>
                      <c:pt idx="15">
                        <c:v>6210.6140800000003</c:v>
                      </c:pt>
                      <c:pt idx="16">
                        <c:v>2171.9036000000001</c:v>
                      </c:pt>
                      <c:pt idx="17">
                        <c:v>1370.8389999999999</c:v>
                      </c:pt>
                      <c:pt idx="18">
                        <c:v>1031.2910999999999</c:v>
                      </c:pt>
                      <c:pt idx="19">
                        <c:v>890.99950000000001</c:v>
                      </c:pt>
                      <c:pt idx="20">
                        <c:v>1413.1914999999997</c:v>
                      </c:pt>
                      <c:pt idx="21">
                        <c:v>1810.6574999999998</c:v>
                      </c:pt>
                      <c:pt idx="22">
                        <c:v>741.11709999999994</c:v>
                      </c:pt>
                      <c:pt idx="23">
                        <c:v>166.97</c:v>
                      </c:pt>
                      <c:pt idx="24">
                        <c:v>512.96627999999998</c:v>
                      </c:pt>
                    </c:numCache>
                  </c:numRef>
                </c:val>
              </c15:ser>
            </c15:filteredBarSeries>
            <c15:filteredBarSeries>
              <c15:ser>
                <c:idx val="2"/>
                <c:order val="2"/>
                <c:tx>
                  <c:strRef>
                    <c:extLst xmlns:c15="http://schemas.microsoft.com/office/drawing/2012/chart">
                      <c:ext xmlns:c15="http://schemas.microsoft.com/office/drawing/2012/chart" uri="{02D57815-91ED-43cb-92C2-25804820EDAC}">
                        <c15:formulaRef>
                          <c15:sqref>[1]Sheet3!$D$1</c15:sqref>
                        </c15:formulaRef>
                      </c:ext>
                    </c:extLst>
                    <c:strCache>
                      <c:ptCount val="1"/>
                      <c:pt idx="0">
                        <c:v>FCVs only</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[1]Sheet3!$A$2:$A$26</c15:sqref>
                        </c15:formulaRef>
                      </c:ext>
                    </c:extLst>
                    <c:strCache>
                      <c:ptCount val="25"/>
                      <c:pt idx="0">
                        <c:v>1990/91</c:v>
                      </c:pt>
                      <c:pt idx="1">
                        <c:v>1991/92</c:v>
                      </c:pt>
                      <c:pt idx="2">
                        <c:v>1992/93</c:v>
                      </c:pt>
                      <c:pt idx="3">
                        <c:v>1993/94</c:v>
                      </c:pt>
                      <c:pt idx="4">
                        <c:v>1994/95</c:v>
                      </c:pt>
                      <c:pt idx="5">
                        <c:v>1995/96</c:v>
                      </c:pt>
                      <c:pt idx="6">
                        <c:v>1996/97</c:v>
                      </c:pt>
                      <c:pt idx="7">
                        <c:v>1997/98</c:v>
                      </c:pt>
                      <c:pt idx="8">
                        <c:v>1998/99</c:v>
                      </c:pt>
                      <c:pt idx="9">
                        <c:v>1999/00</c:v>
                      </c:pt>
                      <c:pt idx="10">
                        <c:v>2000/01</c:v>
                      </c:pt>
                      <c:pt idx="11">
                        <c:v>2001/02</c:v>
                      </c:pt>
                      <c:pt idx="12">
                        <c:v>2002/03</c:v>
                      </c:pt>
                      <c:pt idx="13">
                        <c:v>2003/04</c:v>
                      </c:pt>
                      <c:pt idx="14">
                        <c:v>2004/05</c:v>
                      </c:pt>
                      <c:pt idx="15">
                        <c:v>2005/06</c:v>
                      </c:pt>
                      <c:pt idx="16">
                        <c:v>2006/07</c:v>
                      </c:pt>
                      <c:pt idx="17">
                        <c:v>2007/08</c:v>
                      </c:pt>
                      <c:pt idx="18">
                        <c:v>2008/09</c:v>
                      </c:pt>
                      <c:pt idx="19">
                        <c:v>2009/10</c:v>
                      </c:pt>
                      <c:pt idx="20">
                        <c:v>2010/11</c:v>
                      </c:pt>
                      <c:pt idx="21">
                        <c:v>2011/12</c:v>
                      </c:pt>
                      <c:pt idx="22">
                        <c:v>2012/13</c:v>
                      </c:pt>
                      <c:pt idx="23">
                        <c:v>2013/14</c:v>
                      </c:pt>
                      <c:pt idx="24">
                        <c:v>2014/15</c:v>
                      </c:pt>
                    </c:strCache>
                  </c:strRef>
                </c:cat>
                <c:val>
                  <c:numRef>
                    <c:extLst xmlns:c15="http://schemas.microsoft.com/office/drawing/2012/chart">
                      <c:ext xmlns:c15="http://schemas.microsoft.com/office/drawing/2012/chart" uri="{02D57815-91ED-43cb-92C2-25804820EDAC}">
                        <c15:formulaRef>
                          <c15:sqref>[1]Sheet3!$D$2:$D$26</c15:sqref>
                        </c15:formulaRef>
                      </c:ext>
                    </c:extLst>
                    <c:numCache>
                      <c:formatCode>General</c:formatCode>
                      <c:ptCount val="25"/>
                      <c:pt idx="0">
                        <c:v>42</c:v>
                      </c:pt>
                      <c:pt idx="1">
                        <c:v>22</c:v>
                      </c:pt>
                      <c:pt idx="2">
                        <c:v>17</c:v>
                      </c:pt>
                      <c:pt idx="3">
                        <c:v>10</c:v>
                      </c:pt>
                      <c:pt idx="4">
                        <c:v>35</c:v>
                      </c:pt>
                      <c:pt idx="5">
                        <c:v>54</c:v>
                      </c:pt>
                      <c:pt idx="6">
                        <c:v>98</c:v>
                      </c:pt>
                      <c:pt idx="7">
                        <c:v>27</c:v>
                      </c:pt>
                      <c:pt idx="8">
                        <c:v>21</c:v>
                      </c:pt>
                      <c:pt idx="9">
                        <c:v>3</c:v>
                      </c:pt>
                      <c:pt idx="10">
                        <c:v>2</c:v>
                      </c:pt>
                      <c:pt idx="11">
                        <c:v>4</c:v>
                      </c:pt>
                      <c:pt idx="12">
                        <c:v>6</c:v>
                      </c:pt>
                      <c:pt idx="13">
                        <c:v>8</c:v>
                      </c:pt>
                      <c:pt idx="14">
                        <c:v>16</c:v>
                      </c:pt>
                      <c:pt idx="15">
                        <c:v>15</c:v>
                      </c:pt>
                      <c:pt idx="16">
                        <c:v>1</c:v>
                      </c:pt>
                      <c:pt idx="17">
                        <c:v>2</c:v>
                      </c:pt>
                      <c:pt idx="18">
                        <c:v>1</c:v>
                      </c:pt>
                      <c:pt idx="19">
                        <c:v>2</c:v>
                      </c:pt>
                      <c:pt idx="20">
                        <c:v>2</c:v>
                      </c:pt>
                      <c:pt idx="21">
                        <c:v>2</c:v>
                      </c:pt>
                      <c:pt idx="22">
                        <c:v>2</c:v>
                      </c:pt>
                      <c:pt idx="23">
                        <c:v>1</c:v>
                      </c:pt>
                      <c:pt idx="24">
                        <c:v>1</c:v>
                      </c:pt>
                    </c:numCache>
                  </c:numRef>
                </c:val>
              </c15:ser>
            </c15:filteredBarSeries>
          </c:ext>
        </c:extLst>
      </c:barChart>
      <c:lineChart>
        <c:grouping val="standard"/>
        <c:varyColors val="0"/>
        <c:ser>
          <c:idx val="4"/>
          <c:order val="4"/>
          <c:tx>
            <c:strRef>
              <c:f>[1]Sheet3!$F$1</c:f>
              <c:strCache>
                <c:ptCount val="1"/>
                <c:pt idx="0">
                  <c:v>TACC</c:v>
                </c:pt>
              </c:strCache>
            </c:strRef>
          </c:tx>
          <c:spPr>
            <a:ln w="25400" cap="rnd">
              <a:solidFill>
                <a:schemeClr val="tx1"/>
              </a:solidFill>
              <a:round/>
            </a:ln>
            <a:effectLst/>
          </c:spPr>
          <c:marker>
            <c:symbol val="diamond"/>
            <c:size val="5"/>
            <c:spPr>
              <a:solidFill>
                <a:schemeClr val="tx1"/>
              </a:solidFill>
              <a:ln w="9525">
                <a:solidFill>
                  <a:schemeClr val="tx1"/>
                </a:solidFill>
              </a:ln>
              <a:effectLst/>
            </c:spPr>
          </c:marker>
          <c:cat>
            <c:strRef>
              <c:f>[1]Sheet3!$A$2:$A$26</c:f>
              <c:strCache>
                <c:ptCount val="25"/>
                <c:pt idx="0">
                  <c:v>1990/91</c:v>
                </c:pt>
                <c:pt idx="1">
                  <c:v>1991/92</c:v>
                </c:pt>
                <c:pt idx="2">
                  <c:v>1992/93</c:v>
                </c:pt>
                <c:pt idx="3">
                  <c:v>1993/94</c:v>
                </c:pt>
                <c:pt idx="4">
                  <c:v>1994/95</c:v>
                </c:pt>
                <c:pt idx="5">
                  <c:v>1995/96</c:v>
                </c:pt>
                <c:pt idx="6">
                  <c:v>1996/97</c:v>
                </c:pt>
                <c:pt idx="7">
                  <c:v>1997/98</c:v>
                </c:pt>
                <c:pt idx="8">
                  <c:v>1998/99</c:v>
                </c:pt>
                <c:pt idx="9">
                  <c:v>1999/00</c:v>
                </c:pt>
                <c:pt idx="10">
                  <c:v>2000/01</c:v>
                </c:pt>
                <c:pt idx="11">
                  <c:v>2001/02</c:v>
                </c:pt>
                <c:pt idx="12">
                  <c:v>2002/03</c:v>
                </c:pt>
                <c:pt idx="13">
                  <c:v>2003/04</c:v>
                </c:pt>
                <c:pt idx="14">
                  <c:v>2004/05</c:v>
                </c:pt>
                <c:pt idx="15">
                  <c:v>2005/06</c:v>
                </c:pt>
                <c:pt idx="16">
                  <c:v>2006/07</c:v>
                </c:pt>
                <c:pt idx="17">
                  <c:v>2007/08</c:v>
                </c:pt>
                <c:pt idx="18">
                  <c:v>2008/09</c:v>
                </c:pt>
                <c:pt idx="19">
                  <c:v>2009/10</c:v>
                </c:pt>
                <c:pt idx="20">
                  <c:v>2010/11</c:v>
                </c:pt>
                <c:pt idx="21">
                  <c:v>2011/12</c:v>
                </c:pt>
                <c:pt idx="22">
                  <c:v>2012/13</c:v>
                </c:pt>
                <c:pt idx="23">
                  <c:v>2013/14</c:v>
                </c:pt>
                <c:pt idx="24">
                  <c:v>2014/15</c:v>
                </c:pt>
              </c:strCache>
            </c:strRef>
          </c:cat>
          <c:val>
            <c:numRef>
              <c:f>[1]Sheet3!$F$2:$F$26</c:f>
              <c:numCache>
                <c:formatCode>_-* #,##0_-;\-* #,##0_-;_-* "-"??_-;_-@_-</c:formatCode>
                <c:ptCount val="25"/>
                <c:pt idx="0">
                  <c:v>46087</c:v>
                </c:pt>
                <c:pt idx="1">
                  <c:v>45766</c:v>
                </c:pt>
                <c:pt idx="2">
                  <c:v>49891</c:v>
                </c:pt>
                <c:pt idx="3">
                  <c:v>49891</c:v>
                </c:pt>
                <c:pt idx="4">
                  <c:v>49891</c:v>
                </c:pt>
                <c:pt idx="5">
                  <c:v>50212</c:v>
                </c:pt>
                <c:pt idx="6">
                  <c:v>50212</c:v>
                </c:pt>
                <c:pt idx="7">
                  <c:v>50212</c:v>
                </c:pt>
                <c:pt idx="8">
                  <c:v>50212</c:v>
                </c:pt>
                <c:pt idx="9">
                  <c:v>50212</c:v>
                </c:pt>
                <c:pt idx="10">
                  <c:v>50212</c:v>
                </c:pt>
                <c:pt idx="11">
                  <c:v>50212</c:v>
                </c:pt>
                <c:pt idx="12">
                  <c:v>50212</c:v>
                </c:pt>
                <c:pt idx="13">
                  <c:v>50212</c:v>
                </c:pt>
                <c:pt idx="14">
                  <c:v>50212</c:v>
                </c:pt>
                <c:pt idx="15">
                  <c:v>50212</c:v>
                </c:pt>
                <c:pt idx="16">
                  <c:v>50212</c:v>
                </c:pt>
                <c:pt idx="17">
                  <c:v>50212</c:v>
                </c:pt>
                <c:pt idx="18">
                  <c:v>50212</c:v>
                </c:pt>
                <c:pt idx="19">
                  <c:v>50212</c:v>
                </c:pt>
                <c:pt idx="20">
                  <c:v>50212</c:v>
                </c:pt>
                <c:pt idx="21">
                  <c:v>50212</c:v>
                </c:pt>
                <c:pt idx="22">
                  <c:v>50212</c:v>
                </c:pt>
                <c:pt idx="23">
                  <c:v>50212</c:v>
                </c:pt>
                <c:pt idx="24">
                  <c:v>50212</c:v>
                </c:pt>
              </c:numCache>
            </c:numRef>
          </c:val>
          <c:smooth val="0"/>
        </c:ser>
        <c:dLbls>
          <c:showLegendKey val="0"/>
          <c:showVal val="0"/>
          <c:showCatName val="0"/>
          <c:showSerName val="0"/>
          <c:showPercent val="0"/>
          <c:showBubbleSize val="0"/>
        </c:dLbls>
        <c:marker val="1"/>
        <c:smooth val="0"/>
        <c:axId val="279591376"/>
        <c:axId val="279592160"/>
      </c:lineChart>
      <c:lineChart>
        <c:grouping val="standard"/>
        <c:varyColors val="0"/>
        <c:ser>
          <c:idx val="1"/>
          <c:order val="1"/>
          <c:tx>
            <c:strRef>
              <c:f>[1]Sheet3!$C$1</c:f>
              <c:strCache>
                <c:ptCount val="1"/>
                <c:pt idx="0">
                  <c:v>Number of vessels</c:v>
                </c:pt>
              </c:strCache>
            </c:strRef>
          </c:tx>
          <c:spPr>
            <a:ln w="28575" cap="rnd">
              <a:solidFill>
                <a:srgbClr val="C00000"/>
              </a:solidFill>
              <a:round/>
            </a:ln>
            <a:effectLst/>
          </c:spPr>
          <c:marker>
            <c:symbol val="none"/>
          </c:marker>
          <c:cat>
            <c:strRef>
              <c:f>[1]Sheet3!$A$2:$A$26</c:f>
              <c:strCache>
                <c:ptCount val="25"/>
                <c:pt idx="0">
                  <c:v>1990/91</c:v>
                </c:pt>
                <c:pt idx="1">
                  <c:v>1991/92</c:v>
                </c:pt>
                <c:pt idx="2">
                  <c:v>1992/93</c:v>
                </c:pt>
                <c:pt idx="3">
                  <c:v>1993/94</c:v>
                </c:pt>
                <c:pt idx="4">
                  <c:v>1994/95</c:v>
                </c:pt>
                <c:pt idx="5">
                  <c:v>1995/96</c:v>
                </c:pt>
                <c:pt idx="6">
                  <c:v>1996/97</c:v>
                </c:pt>
                <c:pt idx="7">
                  <c:v>1997/98</c:v>
                </c:pt>
                <c:pt idx="8">
                  <c:v>1998/99</c:v>
                </c:pt>
                <c:pt idx="9">
                  <c:v>1999/00</c:v>
                </c:pt>
                <c:pt idx="10">
                  <c:v>2000/01</c:v>
                </c:pt>
                <c:pt idx="11">
                  <c:v>2001/02</c:v>
                </c:pt>
                <c:pt idx="12">
                  <c:v>2002/03</c:v>
                </c:pt>
                <c:pt idx="13">
                  <c:v>2003/04</c:v>
                </c:pt>
                <c:pt idx="14">
                  <c:v>2004/05</c:v>
                </c:pt>
                <c:pt idx="15">
                  <c:v>2005/06</c:v>
                </c:pt>
                <c:pt idx="16">
                  <c:v>2006/07</c:v>
                </c:pt>
                <c:pt idx="17">
                  <c:v>2007/08</c:v>
                </c:pt>
                <c:pt idx="18">
                  <c:v>2008/09</c:v>
                </c:pt>
                <c:pt idx="19">
                  <c:v>2009/10</c:v>
                </c:pt>
                <c:pt idx="20">
                  <c:v>2010/11</c:v>
                </c:pt>
                <c:pt idx="21">
                  <c:v>2011/12</c:v>
                </c:pt>
                <c:pt idx="22">
                  <c:v>2012/13</c:v>
                </c:pt>
                <c:pt idx="23">
                  <c:v>2013/14</c:v>
                </c:pt>
                <c:pt idx="24">
                  <c:v>2014/15</c:v>
                </c:pt>
              </c:strCache>
            </c:strRef>
          </c:cat>
          <c:val>
            <c:numRef>
              <c:f>[1]Sheet3!$C$2:$C$26</c:f>
              <c:numCache>
                <c:formatCode>General</c:formatCode>
                <c:ptCount val="25"/>
                <c:pt idx="0">
                  <c:v>44</c:v>
                </c:pt>
                <c:pt idx="1">
                  <c:v>23</c:v>
                </c:pt>
                <c:pt idx="2">
                  <c:v>20</c:v>
                </c:pt>
                <c:pt idx="3">
                  <c:v>14</c:v>
                </c:pt>
                <c:pt idx="4">
                  <c:v>48</c:v>
                </c:pt>
                <c:pt idx="5">
                  <c:v>68</c:v>
                </c:pt>
                <c:pt idx="6">
                  <c:v>109</c:v>
                </c:pt>
                <c:pt idx="7">
                  <c:v>33</c:v>
                </c:pt>
                <c:pt idx="8">
                  <c:v>22</c:v>
                </c:pt>
                <c:pt idx="9">
                  <c:v>3</c:v>
                </c:pt>
                <c:pt idx="10">
                  <c:v>3</c:v>
                </c:pt>
                <c:pt idx="11">
                  <c:v>4</c:v>
                </c:pt>
                <c:pt idx="12">
                  <c:v>7</c:v>
                </c:pt>
                <c:pt idx="13">
                  <c:v>13</c:v>
                </c:pt>
                <c:pt idx="14">
                  <c:v>18</c:v>
                </c:pt>
                <c:pt idx="15">
                  <c:v>19</c:v>
                </c:pt>
                <c:pt idx="16">
                  <c:v>6</c:v>
                </c:pt>
                <c:pt idx="17">
                  <c:v>5</c:v>
                </c:pt>
                <c:pt idx="18">
                  <c:v>5</c:v>
                </c:pt>
                <c:pt idx="19">
                  <c:v>5</c:v>
                </c:pt>
                <c:pt idx="20">
                  <c:v>4</c:v>
                </c:pt>
                <c:pt idx="21">
                  <c:v>4</c:v>
                </c:pt>
                <c:pt idx="22">
                  <c:v>4</c:v>
                </c:pt>
                <c:pt idx="23">
                  <c:v>1</c:v>
                </c:pt>
                <c:pt idx="24">
                  <c:v>3</c:v>
                </c:pt>
              </c:numCache>
            </c:numRef>
          </c:val>
          <c:smooth val="0"/>
        </c:ser>
        <c:dLbls>
          <c:showLegendKey val="0"/>
          <c:showVal val="0"/>
          <c:showCatName val="0"/>
          <c:showSerName val="0"/>
          <c:showPercent val="0"/>
          <c:showBubbleSize val="0"/>
        </c:dLbls>
        <c:marker val="1"/>
        <c:smooth val="0"/>
        <c:axId val="279593336"/>
        <c:axId val="279593728"/>
      </c:lineChart>
      <c:catAx>
        <c:axId val="279591376"/>
        <c:scaling>
          <c:orientation val="minMax"/>
        </c:scaling>
        <c:delete val="0"/>
        <c:axPos val="b"/>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Arial Narrow" panose="020B0606020202030204" pitchFamily="34" charset="0"/>
                <a:ea typeface="+mn-ea"/>
                <a:cs typeface="+mn-cs"/>
              </a:defRPr>
            </a:pPr>
            <a:endParaRPr lang="en-US"/>
          </a:p>
        </c:txPr>
        <c:crossAx val="279592160"/>
        <c:crosses val="autoZero"/>
        <c:auto val="1"/>
        <c:lblAlgn val="ctr"/>
        <c:lblOffset val="100"/>
        <c:noMultiLvlLbl val="0"/>
      </c:catAx>
      <c:valAx>
        <c:axId val="279592160"/>
        <c:scaling>
          <c:orientation val="minMax"/>
        </c:scaling>
        <c:delete val="0"/>
        <c:axPos val="l"/>
        <c:title>
          <c:tx>
            <c:rich>
              <a:bodyPr rot="-5400000" spcFirstLastPara="1" vertOverflow="ellipsis" vert="horz" wrap="square" anchor="ctr" anchorCtr="1"/>
              <a:lstStyle/>
              <a:p>
                <a:pPr>
                  <a:defRPr sz="1050" b="1" i="0" u="none" strike="noStrike" kern="1200" baseline="0">
                    <a:solidFill>
                      <a:sysClr val="windowText" lastClr="000000"/>
                    </a:solidFill>
                    <a:latin typeface="Arial Narrow" panose="020B0606020202030204" pitchFamily="34" charset="0"/>
                    <a:ea typeface="+mn-ea"/>
                    <a:cs typeface="+mn-cs"/>
                  </a:defRPr>
                </a:pPr>
                <a:r>
                  <a:rPr lang="en-US" sz="1050" b="1">
                    <a:latin typeface="Arial Narrow" panose="020B0606020202030204" pitchFamily="34" charset="0"/>
                  </a:rPr>
                  <a:t>Weight (tonnes)</a:t>
                </a:r>
              </a:p>
            </c:rich>
          </c:tx>
          <c:layout>
            <c:manualLayout>
              <c:xMode val="edge"/>
              <c:yMode val="edge"/>
              <c:x val="8.8632838466651889E-3"/>
              <c:y val="0.28565857117532351"/>
            </c:manualLayout>
          </c:layout>
          <c:overlay val="0"/>
          <c:spPr>
            <a:noFill/>
            <a:ln>
              <a:noFill/>
            </a:ln>
            <a:effectLst/>
          </c:spPr>
          <c:txPr>
            <a:bodyPr rot="-5400000" spcFirstLastPara="1" vertOverflow="ellipsis" vert="horz" wrap="square" anchor="ctr" anchorCtr="1"/>
            <a:lstStyle/>
            <a:p>
              <a:pPr>
                <a:defRPr sz="1050" b="1" i="0" u="none" strike="noStrike" kern="1200" baseline="0">
                  <a:solidFill>
                    <a:sysClr val="windowText" lastClr="000000"/>
                  </a:solidFill>
                  <a:latin typeface="Arial Narrow" panose="020B0606020202030204" pitchFamily="34" charset="0"/>
                  <a:ea typeface="+mn-ea"/>
                  <a:cs typeface="+mn-cs"/>
                </a:defRPr>
              </a:pPr>
              <a:endParaRPr lang="en-US"/>
            </a:p>
          </c:txPr>
        </c:title>
        <c:numFmt formatCode="_-* #,##0_-;\-* #,##0_-;_-* &quot;-&quot;??_-;_-@_-"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Narrow" panose="020B0606020202030204" pitchFamily="34" charset="0"/>
                <a:ea typeface="+mn-ea"/>
                <a:cs typeface="+mn-cs"/>
              </a:defRPr>
            </a:pPr>
            <a:endParaRPr lang="en-US"/>
          </a:p>
        </c:txPr>
        <c:crossAx val="279591376"/>
        <c:crosses val="autoZero"/>
        <c:crossBetween val="between"/>
        <c:majorUnit val="20000"/>
      </c:valAx>
      <c:valAx>
        <c:axId val="279593728"/>
        <c:scaling>
          <c:orientation val="minMax"/>
        </c:scaling>
        <c:delete val="0"/>
        <c:axPos val="r"/>
        <c:title>
          <c:tx>
            <c:rich>
              <a:bodyPr rot="-5400000" spcFirstLastPara="1" vertOverflow="ellipsis" vert="horz" wrap="square" anchor="ctr" anchorCtr="1"/>
              <a:lstStyle/>
              <a:p>
                <a:pPr>
                  <a:defRPr sz="1050" b="1" i="0" u="none" strike="noStrike" kern="1200" baseline="0">
                    <a:solidFill>
                      <a:sysClr val="windowText" lastClr="000000"/>
                    </a:solidFill>
                    <a:latin typeface="Arial Narrow" panose="020B0606020202030204" pitchFamily="34" charset="0"/>
                    <a:ea typeface="+mn-ea"/>
                    <a:cs typeface="+mn-cs"/>
                  </a:defRPr>
                </a:pPr>
                <a:r>
                  <a:rPr lang="en-US" sz="1050" b="1">
                    <a:latin typeface="Arial Narrow" panose="020B0606020202030204" pitchFamily="34" charset="0"/>
                  </a:rPr>
                  <a:t>Number of vessels</a:t>
                </a:r>
              </a:p>
            </c:rich>
          </c:tx>
          <c:layout/>
          <c:overlay val="0"/>
          <c:spPr>
            <a:noFill/>
            <a:ln>
              <a:noFill/>
            </a:ln>
            <a:effectLst/>
          </c:spPr>
          <c:txPr>
            <a:bodyPr rot="-5400000" spcFirstLastPara="1" vertOverflow="ellipsis" vert="horz" wrap="square" anchor="ctr" anchorCtr="1"/>
            <a:lstStyle/>
            <a:p>
              <a:pPr>
                <a:defRPr sz="1050" b="1" i="0" u="none" strike="noStrike" kern="1200" baseline="0">
                  <a:solidFill>
                    <a:sysClr val="windowText" lastClr="000000"/>
                  </a:solidFill>
                  <a:latin typeface="Arial Narrow" panose="020B0606020202030204" pitchFamily="34" charset="0"/>
                  <a:ea typeface="+mn-ea"/>
                  <a:cs typeface="+mn-cs"/>
                </a:defRPr>
              </a:pPr>
              <a:endParaRPr lang="en-US"/>
            </a:p>
          </c:txPr>
        </c:title>
        <c:numFmt formatCode="General"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Arial Narrow" panose="020B0606020202030204" pitchFamily="34" charset="0"/>
                <a:ea typeface="+mn-ea"/>
                <a:cs typeface="+mn-cs"/>
              </a:defRPr>
            </a:pPr>
            <a:endParaRPr lang="en-US"/>
          </a:p>
        </c:txPr>
        <c:crossAx val="279593336"/>
        <c:crosses val="max"/>
        <c:crossBetween val="between"/>
        <c:majorUnit val="40"/>
        <c:minorUnit val="20"/>
      </c:valAx>
      <c:catAx>
        <c:axId val="279593336"/>
        <c:scaling>
          <c:orientation val="minMax"/>
        </c:scaling>
        <c:delete val="1"/>
        <c:axPos val="b"/>
        <c:numFmt formatCode="General" sourceLinked="1"/>
        <c:majorTickMark val="out"/>
        <c:minorTickMark val="none"/>
        <c:tickLblPos val="nextTo"/>
        <c:crossAx val="279593728"/>
        <c:crosses val="autoZero"/>
        <c:auto val="1"/>
        <c:lblAlgn val="ctr"/>
        <c:lblOffset val="100"/>
        <c:noMultiLvlLbl val="0"/>
      </c:catAx>
      <c:spPr>
        <a:noFill/>
        <a:ln w="25400">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Consultation</TermName>
          <TermId xmlns="http://schemas.microsoft.com/office/infopath/2007/PartnerControls">772aab91-6720-4ebc-8cf2-6f1a4b79c74a</TermId>
        </TermInfo>
      </Terms>
    </C3TopicNote>
    <TaxKeywordTaxHTField xmlns="53305d22-c52c-4ebf-80a3-731614f57ab7">
      <Terms xmlns="http://schemas.microsoft.com/office/infopath/2007/PartnerControls"/>
    </TaxKeywordTaxHTField>
    <MPIRegulatoryRoundType xmlns="53305d22-c52c-4ebf-80a3-731614f57ab7">Sustainability</MPIRegulatoryRoundType>
    <od12f45513fd4debb073a8a26f4c6b4f xmlns="53305d22-c52c-4ebf-80a3-731614f57ab7">
      <Terms xmlns="http://schemas.microsoft.com/office/infopath/2007/PartnerControls">
        <TermInfo xmlns="http://schemas.microsoft.com/office/infopath/2007/PartnerControls">
          <TermName xmlns="http://schemas.microsoft.com/office/infopath/2007/PartnerControls">fisheries</TermName>
          <TermId xmlns="http://schemas.microsoft.com/office/infopath/2007/PartnerControls">9a48a18c-7f48-4bf5-953e-e335685a1c78</TermId>
        </TermInfo>
        <TermInfo xmlns="http://schemas.microsoft.com/office/infopath/2007/PartnerControls">
          <TermName xmlns="http://schemas.microsoft.com/office/infopath/2007/PartnerControls">informing</TermName>
          <TermId xmlns="http://schemas.microsoft.com/office/infopath/2007/PartnerControls">b9dea892-f883-4845-8698-e26e3087a8f1</TermId>
        </TermInfo>
        <TermInfo xmlns="http://schemas.microsoft.com/office/infopath/2007/PartnerControls">
          <TermName xmlns="http://schemas.microsoft.com/office/infopath/2007/PartnerControls">management</TermName>
          <TermId xmlns="http://schemas.microsoft.com/office/infopath/2007/PartnerControls">03e6ac43-5a7a-497b-b60c-fe462a3a84a6</TermId>
        </TermInfo>
        <TermInfo xmlns="http://schemas.microsoft.com/office/infopath/2007/PartnerControls">
          <TermName xmlns="http://schemas.microsoft.com/office/infopath/2007/PartnerControls">biomass</TermName>
          <TermId xmlns="http://schemas.microsoft.com/office/infopath/2007/PartnerControls">202410c8-29ed-478b-ba82-dfdace441883</TermId>
        </TermInfo>
        <TermInfo xmlns="http://schemas.microsoft.com/office/infopath/2007/PartnerControls">
          <TermName xmlns="http://schemas.microsoft.com/office/infopath/2007/PartnerControls">industry</TermName>
          <TermId xmlns="http://schemas.microsoft.com/office/infopath/2007/PartnerControls">7a9497a6-d880-40cc-bd02-3afe4c4ddcfb</TermId>
        </TermInfo>
      </Terms>
    </od12f45513fd4debb073a8a26f4c6b4f>
    <PingarLastProcessed xmlns="53305d22-c52c-4ebf-80a3-731614f57ab7">2016-01-10T12:32:08+00:00</PingarLastProcessed>
    <g1fe1e02ea0941d1b1173a4aff436797 xmlns="53305d22-c52c-4ebf-80a3-731614f57ab7">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g1fe1e02ea0941d1b1173a4aff436797>
    <TaxCatchAll xmlns="53305d22-c52c-4ebf-80a3-731614f57ab7">
      <Value>7087</Value>
      <Value>7086</Value>
      <Value>7101</Value>
      <Value>7338</Value>
      <Value>7030</Value>
      <Value>7162</Value>
      <Value>7092</Value>
      <Value>1</Value>
    </TaxCatchAll>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50651C5176DF77499FC56E8051007AF6" ma:contentTypeVersion="21" ma:contentTypeDescription="Create a new Word Document" ma:contentTypeScope="" ma:versionID="8f844db2432491a1de4a6cef9f54cd54">
  <xsd:schema xmlns:xsd="http://www.w3.org/2001/XMLSchema" xmlns:xs="http://www.w3.org/2001/XMLSchema" xmlns:p="http://schemas.microsoft.com/office/2006/metadata/properties" xmlns:ns3="53305d22-c52c-4ebf-80a3-731614f57ab7" xmlns:ns4="01be4277-2979-4a68-876d-b92b25fceece" xmlns:ns5="http://schemas.microsoft.com/sharepoint/v4" targetNamespace="http://schemas.microsoft.com/office/2006/metadata/properties" ma:root="true" ma:fieldsID="ec681d0a642a7be118d9d9a502fbd364" ns3:_="" ns4:_="" ns5:_="">
    <xsd:import namespace="53305d22-c52c-4ebf-80a3-731614f57ab7"/>
    <xsd:import namespace="01be4277-2979-4a68-876d-b92b25fceece"/>
    <xsd:import namespace="http://schemas.microsoft.com/sharepoint/v4"/>
    <xsd:element name="properties">
      <xsd:complexType>
        <xsd:sequence>
          <xsd:element name="documentManagement">
            <xsd:complexType>
              <xsd:all>
                <xsd:element ref="ns3:MPIRegulatoryRoundType" minOccurs="0"/>
                <xsd:element ref="ns3:PingarLastProcessed" minOccurs="0"/>
                <xsd:element ref="ns3:TaxKeywordTaxHTField" minOccurs="0"/>
                <xsd:element ref="ns3:TaxCatchAll" minOccurs="0"/>
                <xsd:element ref="ns3:TaxCatchAllLabel" minOccurs="0"/>
                <xsd:element ref="ns3:od12f45513fd4debb073a8a26f4c6b4f" minOccurs="0"/>
                <xsd:element ref="ns3:g1fe1e02ea0941d1b1173a4aff436797" minOccurs="0"/>
                <xsd:element ref="ns4:C3TopicNote"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05d22-c52c-4ebf-80a3-731614f57ab7" elementFormDefault="qualified">
    <xsd:import namespace="http://schemas.microsoft.com/office/2006/documentManagement/types"/>
    <xsd:import namespace="http://schemas.microsoft.com/office/infopath/2007/PartnerControls"/>
    <xsd:element name="MPIRegulatoryRoundType" ma:index="4" nillable="true" ma:displayName="Regulatory Round Type" ma:format="Dropdown" ma:internalName="MPIRegulatoryRoundType">
      <xsd:simpleType>
        <xsd:restriction base="dms:Choice">
          <xsd:enumeration value="Regulatory"/>
          <xsd:enumeration value="Round"/>
          <xsd:enumeration value="Sustainability"/>
        </xsd:restriction>
      </xsd:simpleType>
    </xsd:element>
    <xsd:element name="PingarLastProcessed" ma:index="6" nillable="true" ma:displayName="PingarLastProcessed" ma:format="DateTime" ma:internalName="PingarLastProcessed">
      <xsd:simpleType>
        <xsd:restriction base="dms:DateTime"/>
      </xsd:simpleType>
    </xsd:element>
    <xsd:element name="TaxKeywordTaxHTField" ma:index="9"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3f17bfd4-a201-437d-98ff-43d884cbcde5}" ma:internalName="TaxCatchAll" ma:showField="CatchAllData" ma:web="53305d22-c52c-4ebf-80a3-731614f57ab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3f17bfd4-a201-437d-98ff-43d884cbcde5}" ma:internalName="TaxCatchAllLabel" ma:readOnly="true" ma:showField="CatchAllDataLabel" ma:web="53305d22-c52c-4ebf-80a3-731614f57ab7">
      <xsd:complexType>
        <xsd:complexContent>
          <xsd:extension base="dms:MultiChoiceLookup">
            <xsd:sequence>
              <xsd:element name="Value" type="dms:Lookup" maxOccurs="unbounded" minOccurs="0" nillable="true"/>
            </xsd:sequence>
          </xsd:extension>
        </xsd:complexContent>
      </xsd:complexType>
    </xsd:element>
    <xsd:element name="od12f45513fd4debb073a8a26f4c6b4f" ma:index="14" nillable="true" ma:taxonomy="true" ma:internalName="od12f45513fd4debb073a8a26f4c6b4f" ma:taxonomyFieldName="PingarMPI_Terms" ma:displayName="Derived Terms" ma:fieldId="{8d12f455-13fd-4deb-b073-a8a26f4c6b4f}"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g1fe1e02ea0941d1b1173a4aff436797" ma:index="17" nillable="true" ma:taxonomy="true" ma:internalName="g1fe1e02ea0941d1b1173a4aff436797" ma:taxonomyFieldName="MPISecurityClassification" ma:displayName="Security Classification" ma:default="1;#None|cf402fa0-b6a8-49a7-a22e-a95b6152c608" ma:fieldId="{01fe1e02-ea09-41d1-b117-3a4aff436797}" ma:sspId="3bfd400a-bb0f-42a8-a885-98b592a0f767" ma:termSetId="0585e480-f249-45e9-9d9a-827200d7ed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19" nillable="true" ma:taxonomy="true" ma:internalName="C3TopicNote" ma:taxonomyFieldName="C3Topic" ma:displayName="Topic" ma:readOnly="false" ma:fieldId="{6a3fe89f-a6dd-4490-a9c1-3ef38d67b8c7}" ma:sspId="3bfd400a-bb0f-42a8-a885-98b592a0f767" ma:termSetId="9cb9d936-a224-406d-a76a-f42f2d4a040c" ma:anchorId="c23105e8-cc7b-4e51-a705-3a8406f5b8f4"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CC488-A724-4714-A630-B5C63BEFA826}">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4"/>
    <ds:schemaRef ds:uri="http://purl.org/dc/elements/1.1/"/>
    <ds:schemaRef ds:uri="http://schemas.openxmlformats.org/package/2006/metadata/core-properties"/>
    <ds:schemaRef ds:uri="53305d22-c52c-4ebf-80a3-731614f57ab7"/>
    <ds:schemaRef ds:uri="01be4277-2979-4a68-876d-b92b25fceece"/>
    <ds:schemaRef ds:uri="http://www.w3.org/XML/1998/namespace"/>
    <ds:schemaRef ds:uri="http://purl.org/dc/dcmitype/"/>
  </ds:schemaRefs>
</ds:datastoreItem>
</file>

<file path=customXml/itemProps2.xml><?xml version="1.0" encoding="utf-8"?>
<ds:datastoreItem xmlns:ds="http://schemas.openxmlformats.org/officeDocument/2006/customXml" ds:itemID="{E621299E-0E4C-486C-9092-65AAE053A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305d22-c52c-4ebf-80a3-731614f57ab7"/>
    <ds:schemaRef ds:uri="01be4277-2979-4a68-876d-b92b25fceec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3DD18B-D30F-4D84-B665-4B619BA5EC05}">
  <ds:schemaRefs>
    <ds:schemaRef ds:uri="http://schemas.microsoft.com/sharepoint/v3/contenttype/forms"/>
  </ds:schemaRefs>
</ds:datastoreItem>
</file>

<file path=customXml/itemProps4.xml><?xml version="1.0" encoding="utf-8"?>
<ds:datastoreItem xmlns:ds="http://schemas.openxmlformats.org/officeDocument/2006/customXml" ds:itemID="{2DCB2119-3B32-4542-9C15-DA2C03E8B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MPI Report Template.dot</Template>
  <TotalTime>0</TotalTime>
  <Pages>14</Pages>
  <Words>2783</Words>
  <Characters>15867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Review of Management Controls for the Arrow Squid Jigging Fishery (SQU 1J) in 2016</vt:lpstr>
    </vt:vector>
  </TitlesOfParts>
  <Company>Ministry of Agriculture and Forestry</Company>
  <LinksUpToDate>false</LinksUpToDate>
  <CharactersWithSpaces>18613</CharactersWithSpaces>
  <SharedDoc>false</SharedDoc>
  <HLinks>
    <vt:vector size="24" baseType="variant">
      <vt:variant>
        <vt:i4>5373984</vt:i4>
      </vt:variant>
      <vt:variant>
        <vt:i4>32</vt:i4>
      </vt:variant>
      <vt:variant>
        <vt:i4>0</vt:i4>
      </vt:variant>
      <vt:variant>
        <vt:i4>5</vt:i4>
      </vt:variant>
      <vt:variant>
        <vt:lpwstr>mailto:FMsubmissions@mpi.govt.nz</vt:lpwstr>
      </vt:variant>
      <vt:variant>
        <vt:lpwstr/>
      </vt:variant>
      <vt:variant>
        <vt:i4>2555984</vt:i4>
      </vt:variant>
      <vt:variant>
        <vt:i4>-1</vt:i4>
      </vt:variant>
      <vt:variant>
        <vt:i4>2058</vt:i4>
      </vt:variant>
      <vt:variant>
        <vt:i4>1</vt:i4>
      </vt:variant>
      <vt:variant>
        <vt:lpwstr>MPI-logo-colour</vt:lpwstr>
      </vt:variant>
      <vt:variant>
        <vt:lpwstr/>
      </vt:variant>
      <vt:variant>
        <vt:i4>1769515</vt:i4>
      </vt:variant>
      <vt:variant>
        <vt:i4>-1</vt:i4>
      </vt:variant>
      <vt:variant>
        <vt:i4>2062</vt:i4>
      </vt:variant>
      <vt:variant>
        <vt:i4>1</vt:i4>
      </vt:variant>
      <vt:variant>
        <vt:lpwstr>newzealand government</vt:lpwstr>
      </vt:variant>
      <vt:variant>
        <vt:lpwstr/>
      </vt:variant>
      <vt:variant>
        <vt:i4>6881377</vt:i4>
      </vt:variant>
      <vt:variant>
        <vt:i4>-1</vt:i4>
      </vt:variant>
      <vt:variant>
        <vt:i4>2063</vt:i4>
      </vt:variant>
      <vt:variant>
        <vt:i4>1</vt:i4>
      </vt:variant>
      <vt:variant>
        <vt:lpwstr>growing-and-protecting-new-zealand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Management Controls for the Arrow Squid Jigging Fishery (SQU 1J) in 2016</dc:title>
  <dc:subject/>
  <dc:creator>Authorised User</dc:creator>
  <cp:keywords/>
  <dc:description>2002</dc:description>
  <cp:lastModifiedBy>Sonja Hempel</cp:lastModifiedBy>
  <cp:revision>2</cp:revision>
  <cp:lastPrinted>2016-05-27T04:05:00Z</cp:lastPrinted>
  <dcterms:created xsi:type="dcterms:W3CDTF">2016-06-07T02:20:00Z</dcterms:created>
  <dcterms:modified xsi:type="dcterms:W3CDTF">2016-06-07T02:20:00Z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0x0101005496552013C0BA46BE88192D5C6EB20B00BC7B51C3C3DA487E91D1E0ED95F8C85C0050651C5176DF77499FC56E8051007AF6</vt:lpwstr>
  </property>
  <property fmtid="{D5CDD505-2E9C-101B-9397-08002B2CF9AE}" pid="3" name="MPIFishingYear">
    <vt:lpwstr>7338;#2016/17|3289c59c-f218-44f8-b562-afc0d1b6d724</vt:lpwstr>
  </property>
  <property fmtid="{D5CDD505-2E9C-101B-9397-08002B2CF9AE}" pid="4" name="TaxKeyword">
    <vt:lpwstr/>
  </property>
  <property fmtid="{D5CDD505-2E9C-101B-9397-08002B2CF9AE}" pid="5" name="g6f5970aaae1455591eba4514e9755ef">
    <vt:lpwstr/>
  </property>
  <property fmtid="{D5CDD505-2E9C-101B-9397-08002B2CF9AE}" pid="6" name="o4e75948e675413b9688ff9fe3f48c77">
    <vt:lpwstr/>
  </property>
  <property fmtid="{D5CDD505-2E9C-101B-9397-08002B2CF9AE}" pid="7" name="MPISecurityClassification">
    <vt:lpwstr>1;#None|cf402fa0-b6a8-49a7-a22e-a95b6152c608</vt:lpwstr>
  </property>
  <property fmtid="{D5CDD505-2E9C-101B-9397-08002B2CF9AE}" pid="8" name="MPIYear">
    <vt:lpwstr/>
  </property>
  <property fmtid="{D5CDD505-2E9C-101B-9397-08002B2CF9AE}" pid="9" name="PingarMPI_Terms">
    <vt:lpwstr>7092;#fisheries|9a48a18c-7f48-4bf5-953e-e335685a1c78;#7086;#informing|b9dea892-f883-4845-8698-e26e3087a8f1;#7087;#management|03e6ac43-5a7a-497b-b60c-fe462a3a84a6;#7162;#biomass|202410c8-29ed-478b-ba82-dfdace441883;#7101;#industry|7a9497a6-d880-40cc-bd02-3</vt:lpwstr>
  </property>
  <property fmtid="{D5CDD505-2E9C-101B-9397-08002B2CF9AE}" pid="10" name="C3Topic">
    <vt:lpwstr>7030;#Consultation|772aab91-6720-4ebc-8cf2-6f1a4b79c74a</vt:lpwstr>
  </property>
  <property fmtid="{D5CDD505-2E9C-101B-9397-08002B2CF9AE}" pid="11" name="c386641a8d104d09aa789607b1976b5e">
    <vt:lpwstr>2016/17|3289c59c-f218-44f8-b562-afc0d1b6d724</vt:lpwstr>
  </property>
  <property fmtid="{D5CDD505-2E9C-101B-9397-08002B2CF9AE}" pid="12" name="MPIMonth">
    <vt:lpwstr/>
  </property>
</Properties>
</file>