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B0" w:rsidRPr="00917BB0" w:rsidRDefault="00917BB0" w:rsidP="00213B3C">
      <w:pPr>
        <w:rPr>
          <w:b/>
          <w:sz w:val="24"/>
          <w:szCs w:val="24"/>
        </w:rPr>
      </w:pPr>
      <w:r w:rsidRPr="00917BB0">
        <w:rPr>
          <w:b/>
          <w:sz w:val="24"/>
          <w:szCs w:val="24"/>
        </w:rPr>
        <w:t>Food Act consultation</w:t>
      </w:r>
      <w:r>
        <w:rPr>
          <w:b/>
          <w:sz w:val="24"/>
          <w:szCs w:val="24"/>
        </w:rPr>
        <w:t xml:space="preserve">, </w:t>
      </w:r>
      <w:r w:rsidR="00AE123B">
        <w:rPr>
          <w:b/>
          <w:sz w:val="24"/>
          <w:szCs w:val="24"/>
        </w:rPr>
        <w:t xml:space="preserve">25 </w:t>
      </w:r>
      <w:r w:rsidRPr="00917BB0">
        <w:rPr>
          <w:b/>
          <w:sz w:val="24"/>
          <w:szCs w:val="24"/>
        </w:rPr>
        <w:t xml:space="preserve">October 2016 </w:t>
      </w:r>
    </w:p>
    <w:p w:rsidR="00213B3C" w:rsidRPr="00B76DE5" w:rsidRDefault="00AE123B" w:rsidP="00213B3C">
      <w:pPr>
        <w:rPr>
          <w:b/>
          <w:sz w:val="36"/>
          <w:szCs w:val="36"/>
        </w:rPr>
      </w:pPr>
      <w:bookmarkStart w:id="0" w:name="_GoBack"/>
      <w:r>
        <w:rPr>
          <w:b/>
          <w:sz w:val="36"/>
          <w:szCs w:val="36"/>
        </w:rPr>
        <w:t>List</w:t>
      </w:r>
      <w:r w:rsidR="00213B3C" w:rsidRPr="00B76DE5">
        <w:rPr>
          <w:b/>
          <w:sz w:val="36"/>
          <w:szCs w:val="36"/>
        </w:rPr>
        <w:t xml:space="preserve"> of questions</w:t>
      </w:r>
    </w:p>
    <w:bookmarkEnd w:id="0"/>
    <w:p w:rsidR="00B76DE5" w:rsidRPr="00B76DE5" w:rsidRDefault="00B76DE5" w:rsidP="00B76DE5">
      <w:pPr>
        <w:pStyle w:val="Default"/>
        <w:rPr>
          <w:rFonts w:asciiTheme="minorHAnsi" w:hAnsiTheme="minorHAnsi" w:cs="Times New Roman"/>
          <w:b/>
          <w:u w:val="single"/>
        </w:rPr>
      </w:pPr>
      <w:r w:rsidRPr="00B76DE5">
        <w:rPr>
          <w:rFonts w:asciiTheme="minorHAnsi" w:hAnsiTheme="minorHAnsi" w:cs="Times New Roman"/>
          <w:b/>
          <w:u w:val="single"/>
        </w:rPr>
        <w:t xml:space="preserve">Proposals for changes to Regulations </w:t>
      </w:r>
    </w:p>
    <w:p w:rsidR="00B76DE5" w:rsidRPr="00B76DE5" w:rsidRDefault="00B76DE5" w:rsidP="00B76DE5">
      <w:pPr>
        <w:pStyle w:val="Default"/>
        <w:rPr>
          <w:rFonts w:asciiTheme="minorHAnsi" w:hAnsiTheme="minorHAnsi" w:cs="Times New Roman"/>
          <w:b/>
        </w:rPr>
      </w:pPr>
    </w:p>
    <w:p w:rsidR="00B76DE5" w:rsidRPr="00B76DE5" w:rsidRDefault="00B76DE5" w:rsidP="00B76DE5">
      <w:pPr>
        <w:pStyle w:val="Default"/>
        <w:rPr>
          <w:rFonts w:asciiTheme="minorHAnsi" w:hAnsiTheme="minorHAnsi" w:cs="Times New Roman"/>
          <w:b/>
        </w:rPr>
      </w:pPr>
      <w:r w:rsidRPr="00B76DE5">
        <w:rPr>
          <w:rFonts w:asciiTheme="minorHAnsi" w:hAnsiTheme="minorHAnsi" w:cs="Times New Roman"/>
          <w:b/>
        </w:rPr>
        <w:t>Part two: refining the rules for national programme businesses</w:t>
      </w:r>
    </w:p>
    <w:p w:rsidR="00B76DE5" w:rsidRPr="00B76DE5" w:rsidRDefault="00B76DE5" w:rsidP="00B76DE5">
      <w:pPr>
        <w:pStyle w:val="Default"/>
        <w:rPr>
          <w:rFonts w:asciiTheme="minorHAnsi" w:hAnsiTheme="minorHAnsi" w:cs="Times New Roman"/>
          <w:b/>
        </w:rPr>
      </w:pP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Do you agree that the Food Regulations 2015 should be amended to allow for differential cleaning requirements across national programme levels?  </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lower-risk businesses should have fewer records keeping and procedural requirements than higher-risk businesses?</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Do you see any issues with reducing the records keeping and procedural requirements as proposed?  </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Are there any additional requirements that you think should be removed?  If so, why?  Which sectors should no longer be subject to those requirements?</w:t>
      </w:r>
    </w:p>
    <w:p w:rsidR="00B76DE5" w:rsidRPr="00B76DE5" w:rsidRDefault="00B76DE5" w:rsidP="00B76DE5">
      <w:pPr>
        <w:pStyle w:val="Default"/>
        <w:rPr>
          <w:rFonts w:asciiTheme="minorHAnsi" w:hAnsiTheme="minorHAnsi" w:cs="Times New Roman"/>
        </w:rPr>
      </w:pPr>
    </w:p>
    <w:p w:rsidR="00B76DE5" w:rsidRPr="00B76DE5" w:rsidRDefault="00B76DE5" w:rsidP="00B76DE5">
      <w:pPr>
        <w:pStyle w:val="Default"/>
        <w:rPr>
          <w:rFonts w:asciiTheme="minorHAnsi" w:hAnsiTheme="minorHAnsi" w:cs="Times New Roman"/>
          <w:b/>
        </w:rPr>
      </w:pPr>
      <w:r w:rsidRPr="00B76DE5">
        <w:rPr>
          <w:rFonts w:asciiTheme="minorHAnsi" w:hAnsiTheme="minorHAnsi" w:cs="Times New Roman"/>
          <w:b/>
        </w:rPr>
        <w:t xml:space="preserve">Part three: adjustments to verification requirements.  </w:t>
      </w:r>
    </w:p>
    <w:p w:rsidR="00B76DE5" w:rsidRPr="00B76DE5" w:rsidRDefault="00B76DE5" w:rsidP="00B76DE5">
      <w:pPr>
        <w:pStyle w:val="Default"/>
        <w:rPr>
          <w:rFonts w:asciiTheme="minorHAnsi" w:hAnsiTheme="minorHAnsi" w:cs="Times New Roman"/>
          <w:b/>
        </w:rPr>
      </w:pP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Do you agree that there should be greater flexibility with initial verification timeframes?  </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What do you think of the proposed maximum extension timeframes?  Do they strike the right balance between ensuring safe and suitable food, and what is practical?</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the decision to extend maximum timeframes should lie with the relevant registration authority?</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Are there additional or alternative criteria that registration authorities should use to make decisions on extending initial verification timeframes?  </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Do you agree that verification reports should have to include the names of technical experts who provided information, their reports and information about their competency (where a technical expert is consulted)?  </w:t>
      </w:r>
    </w:p>
    <w:p w:rsidR="00B76DE5" w:rsidRPr="00B76DE5" w:rsidRDefault="00B76DE5" w:rsidP="00B76DE5">
      <w:pPr>
        <w:pStyle w:val="Default"/>
        <w:ind w:left="567" w:hanging="567"/>
        <w:rPr>
          <w:rFonts w:asciiTheme="minorHAnsi" w:hAnsiTheme="minorHAnsi" w:cs="Times New Roman"/>
        </w:rPr>
      </w:pPr>
    </w:p>
    <w:p w:rsidR="00B76DE5" w:rsidRPr="00B76DE5" w:rsidRDefault="00B76DE5" w:rsidP="00B76DE5">
      <w:pPr>
        <w:pStyle w:val="Default"/>
        <w:ind w:left="567" w:hanging="567"/>
        <w:rPr>
          <w:rFonts w:asciiTheme="minorHAnsi" w:hAnsiTheme="minorHAnsi" w:cs="Times New Roman"/>
        </w:rPr>
      </w:pPr>
      <w:r w:rsidRPr="00B76DE5">
        <w:rPr>
          <w:rFonts w:asciiTheme="minorHAnsi" w:hAnsiTheme="minorHAnsi" w:cs="Times New Roman"/>
          <w:b/>
        </w:rPr>
        <w:t>Part four: review of the Food (Safety) Regulations 2002</w:t>
      </w:r>
    </w:p>
    <w:p w:rsidR="00B76DE5" w:rsidRPr="00B76DE5" w:rsidRDefault="00B76DE5" w:rsidP="00B76DE5">
      <w:pPr>
        <w:pStyle w:val="Default"/>
        <w:ind w:left="567" w:hanging="567"/>
        <w:rPr>
          <w:rFonts w:asciiTheme="minorHAnsi" w:hAnsiTheme="minorHAnsi" w:cs="Times New Roman"/>
        </w:rPr>
      </w:pP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 6 (misuse of food containers)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 7 (safety of articles)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 8 (identification of articles)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 9 (labels on bottles containing food)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regulations 10-12 (infected persons and food)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lastRenderedPageBreak/>
        <w:t>Do you agree that regulations 16 and 17 (</w:t>
      </w:r>
      <w:proofErr w:type="spellStart"/>
      <w:r w:rsidRPr="00B76DE5">
        <w:rPr>
          <w:rFonts w:asciiTheme="minorHAnsi" w:hAnsiTheme="minorHAnsi" w:cs="Times New Roman"/>
        </w:rPr>
        <w:t>muttonbird</w:t>
      </w:r>
      <w:proofErr w:type="spellEnd"/>
      <w:r w:rsidRPr="00B76DE5">
        <w:rPr>
          <w:rFonts w:asciiTheme="minorHAnsi" w:hAnsiTheme="minorHAnsi" w:cs="Times New Roman"/>
        </w:rPr>
        <w:t>)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 20(1) (wine) should be revoked, and the 75 percent varietal rule for imported wine continue to be provided for via a new regulation within the Food Regulations 2015?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 Do you agree that regulation 20(2) (sales from off-licences)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the policy intent of regulation 24 (fluoridated water) should be retained and updated for water added to food from reticulated supplies?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the permission contained in regulation 26 (hemp seed oil industry) should be retained?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regulation 27 (analyst’s certificate and fees) should be revoked?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Do you agree that the new Food Act will achieve the same or better safety and compliances outcomes as the Food (Safety) Regulations that we propose to revoke?  Why/Why not?</w:t>
      </w:r>
    </w:p>
    <w:p w:rsidR="00B76DE5" w:rsidRPr="00B76DE5" w:rsidRDefault="00B76DE5" w:rsidP="00B76DE5">
      <w:pPr>
        <w:pStyle w:val="Default"/>
        <w:numPr>
          <w:ilvl w:val="0"/>
          <w:numId w:val="7"/>
        </w:numPr>
        <w:spacing w:after="120"/>
        <w:ind w:left="357" w:hanging="357"/>
        <w:rPr>
          <w:rFonts w:asciiTheme="minorHAnsi" w:hAnsiTheme="minorHAnsi" w:cs="Times New Roman"/>
        </w:rPr>
      </w:pPr>
      <w:r w:rsidRPr="00B76DE5">
        <w:rPr>
          <w:rFonts w:asciiTheme="minorHAnsi" w:hAnsiTheme="minorHAnsi" w:cs="Times New Roman"/>
        </w:rPr>
        <w:t xml:space="preserve">What (if any) disadvantages or risks do you see with the new Food Act taking the place of these different Food (Safety) Regulations?  </w:t>
      </w:r>
    </w:p>
    <w:p w:rsidR="00B76DE5" w:rsidRPr="00B76DE5" w:rsidRDefault="00B76DE5" w:rsidP="00B76DE5">
      <w:pPr>
        <w:rPr>
          <w:sz w:val="24"/>
          <w:szCs w:val="24"/>
        </w:rPr>
      </w:pPr>
    </w:p>
    <w:p w:rsidR="00B76DE5" w:rsidRPr="00B76DE5" w:rsidRDefault="00B76DE5" w:rsidP="00B76DE5">
      <w:pPr>
        <w:pStyle w:val="Default"/>
        <w:rPr>
          <w:rFonts w:asciiTheme="minorHAnsi" w:hAnsiTheme="minorHAnsi" w:cs="Times New Roman"/>
          <w:b/>
        </w:rPr>
      </w:pPr>
      <w:r w:rsidRPr="00B76DE5">
        <w:rPr>
          <w:rFonts w:asciiTheme="minorHAnsi" w:hAnsiTheme="minorHAnsi" w:cs="Times New Roman"/>
          <w:b/>
        </w:rPr>
        <w:t>Part five: amendment to the Animal Products (Exemptions and Inclusions) Order 2000</w:t>
      </w:r>
    </w:p>
    <w:p w:rsidR="00B76DE5" w:rsidRPr="00B76DE5" w:rsidRDefault="00B76DE5" w:rsidP="00B76DE5">
      <w:pPr>
        <w:pStyle w:val="Default"/>
        <w:rPr>
          <w:rFonts w:asciiTheme="minorHAnsi" w:hAnsiTheme="minorHAnsi" w:cs="Times New Roman"/>
        </w:rPr>
      </w:pPr>
    </w:p>
    <w:p w:rsidR="00B76DE5" w:rsidRPr="00B76DE5" w:rsidRDefault="00B76DE5" w:rsidP="00B76DE5">
      <w:pPr>
        <w:pStyle w:val="ListParagraph"/>
        <w:numPr>
          <w:ilvl w:val="0"/>
          <w:numId w:val="9"/>
        </w:numPr>
        <w:spacing w:before="120" w:after="120"/>
        <w:rPr>
          <w:color w:val="000000"/>
          <w:sz w:val="24"/>
          <w:szCs w:val="24"/>
        </w:rPr>
      </w:pPr>
      <w:r w:rsidRPr="00B76DE5">
        <w:rPr>
          <w:color w:val="000000"/>
          <w:sz w:val="24"/>
          <w:szCs w:val="24"/>
        </w:rPr>
        <w:t>Do you agree that the Animal Products (Exemptions and Inclusions) Order 2000 should be amended to ensure that the following persons or types of processing are covered by a risk-based measure under the Food Act 2014:</w:t>
      </w:r>
    </w:p>
    <w:p w:rsidR="00B76DE5" w:rsidRPr="00B76DE5" w:rsidRDefault="00B76DE5" w:rsidP="00B76DE5">
      <w:pPr>
        <w:pStyle w:val="ListParagraph"/>
        <w:numPr>
          <w:ilvl w:val="0"/>
          <w:numId w:val="8"/>
        </w:numPr>
        <w:spacing w:before="120" w:after="120"/>
        <w:rPr>
          <w:color w:val="000000"/>
          <w:sz w:val="24"/>
          <w:szCs w:val="24"/>
        </w:rPr>
      </w:pPr>
      <w:r w:rsidRPr="00B76DE5">
        <w:rPr>
          <w:color w:val="000000"/>
          <w:sz w:val="24"/>
          <w:szCs w:val="24"/>
        </w:rPr>
        <w:t>fishmongers selling fish by way of retail sale (clause 10(1));</w:t>
      </w:r>
    </w:p>
    <w:p w:rsidR="00B76DE5" w:rsidRPr="00B76DE5" w:rsidRDefault="00B76DE5" w:rsidP="00B76DE5">
      <w:pPr>
        <w:pStyle w:val="ListParagraph"/>
        <w:numPr>
          <w:ilvl w:val="0"/>
          <w:numId w:val="8"/>
        </w:numPr>
        <w:spacing w:before="120" w:after="120"/>
        <w:rPr>
          <w:color w:val="000000"/>
          <w:sz w:val="24"/>
          <w:szCs w:val="24"/>
        </w:rPr>
      </w:pPr>
      <w:r w:rsidRPr="00B76DE5">
        <w:rPr>
          <w:color w:val="000000"/>
          <w:sz w:val="24"/>
          <w:szCs w:val="24"/>
        </w:rPr>
        <w:t>processing of certain dairy products consumed on premises (clause 7A(1)); and</w:t>
      </w:r>
    </w:p>
    <w:p w:rsidR="00B76DE5" w:rsidRPr="00B76DE5" w:rsidRDefault="00B76DE5" w:rsidP="00B76DE5">
      <w:pPr>
        <w:pStyle w:val="ListParagraph"/>
        <w:numPr>
          <w:ilvl w:val="0"/>
          <w:numId w:val="8"/>
        </w:numPr>
        <w:spacing w:before="120" w:after="120" w:line="240" w:lineRule="auto"/>
        <w:rPr>
          <w:color w:val="000000"/>
          <w:sz w:val="24"/>
          <w:szCs w:val="24"/>
        </w:rPr>
      </w:pPr>
      <w:proofErr w:type="gramStart"/>
      <w:r w:rsidRPr="00B76DE5">
        <w:rPr>
          <w:color w:val="000000"/>
          <w:sz w:val="24"/>
          <w:szCs w:val="24"/>
        </w:rPr>
        <w:t>processing</w:t>
      </w:r>
      <w:proofErr w:type="gramEnd"/>
      <w:r w:rsidRPr="00B76DE5">
        <w:rPr>
          <w:color w:val="000000"/>
          <w:sz w:val="24"/>
          <w:szCs w:val="24"/>
        </w:rPr>
        <w:t xml:space="preserve"> of certain products that are food (clause 7B(1))?</w:t>
      </w:r>
    </w:p>
    <w:p w:rsidR="00B76DE5" w:rsidRPr="00B76DE5" w:rsidRDefault="00B76DE5" w:rsidP="00B76DE5">
      <w:pPr>
        <w:pStyle w:val="Default"/>
        <w:ind w:left="567" w:hanging="567"/>
        <w:rPr>
          <w:rFonts w:asciiTheme="minorHAnsi" w:hAnsiTheme="minorHAnsi" w:cs="Times New Roman"/>
        </w:rPr>
      </w:pPr>
    </w:p>
    <w:p w:rsidR="00B76DE5" w:rsidRPr="00B76DE5" w:rsidRDefault="00B76DE5" w:rsidP="00B76DE5">
      <w:pPr>
        <w:pStyle w:val="Default"/>
        <w:rPr>
          <w:rFonts w:asciiTheme="minorHAnsi" w:hAnsiTheme="minorHAnsi" w:cs="Times New Roman"/>
          <w:b/>
        </w:rPr>
      </w:pPr>
      <w:r w:rsidRPr="00B76DE5">
        <w:rPr>
          <w:rFonts w:asciiTheme="minorHAnsi" w:hAnsiTheme="minorHAnsi" w:cs="Times New Roman"/>
          <w:b/>
        </w:rPr>
        <w:t>Part six: maximum residue levels</w:t>
      </w:r>
    </w:p>
    <w:p w:rsidR="00B76DE5" w:rsidRPr="00B76DE5" w:rsidRDefault="00B76DE5" w:rsidP="00B76DE5">
      <w:pPr>
        <w:pStyle w:val="Default"/>
        <w:rPr>
          <w:rFonts w:asciiTheme="minorHAnsi" w:hAnsiTheme="minorHAnsi" w:cs="Times New Roman"/>
        </w:rPr>
      </w:pPr>
    </w:p>
    <w:p w:rsidR="00B76DE5" w:rsidRPr="00B76DE5" w:rsidRDefault="00B76DE5" w:rsidP="00B76DE5">
      <w:pPr>
        <w:pStyle w:val="Default"/>
        <w:numPr>
          <w:ilvl w:val="0"/>
          <w:numId w:val="9"/>
        </w:numPr>
        <w:rPr>
          <w:rFonts w:asciiTheme="minorHAnsi" w:hAnsiTheme="minorHAnsi" w:cs="Times New Roman"/>
        </w:rPr>
      </w:pPr>
      <w:r w:rsidRPr="00B76DE5">
        <w:rPr>
          <w:rFonts w:asciiTheme="minorHAnsi" w:hAnsiTheme="minorHAnsi" w:cs="Times New Roman"/>
        </w:rPr>
        <w:t>Do you agree that the words “including in the production of wine” should be removed from clause 142(1</w:t>
      </w:r>
      <w:proofErr w:type="gramStart"/>
      <w:r w:rsidRPr="00B76DE5">
        <w:rPr>
          <w:rFonts w:asciiTheme="minorHAnsi" w:hAnsiTheme="minorHAnsi" w:cs="Times New Roman"/>
        </w:rPr>
        <w:t>)(</w:t>
      </w:r>
      <w:proofErr w:type="gramEnd"/>
      <w:r w:rsidRPr="00B76DE5">
        <w:rPr>
          <w:rFonts w:asciiTheme="minorHAnsi" w:hAnsiTheme="minorHAnsi" w:cs="Times New Roman"/>
        </w:rPr>
        <w:t>c) of the Food Regulations 2015?</w:t>
      </w:r>
    </w:p>
    <w:p w:rsidR="00B76DE5" w:rsidRPr="00B76DE5" w:rsidRDefault="00B76DE5" w:rsidP="00213B3C">
      <w:pPr>
        <w:rPr>
          <w:b/>
          <w:sz w:val="24"/>
          <w:szCs w:val="24"/>
        </w:rPr>
      </w:pPr>
    </w:p>
    <w:p w:rsidR="00B76DE5" w:rsidRPr="00B76DE5" w:rsidRDefault="00B76DE5" w:rsidP="00B76DE5">
      <w:pPr>
        <w:spacing w:before="160" w:line="360" w:lineRule="auto"/>
        <w:rPr>
          <w:b/>
          <w:sz w:val="24"/>
          <w:szCs w:val="24"/>
          <w:u w:val="single"/>
        </w:rPr>
      </w:pPr>
      <w:r w:rsidRPr="00B76DE5">
        <w:rPr>
          <w:b/>
          <w:sz w:val="24"/>
          <w:szCs w:val="24"/>
          <w:u w:val="single"/>
        </w:rPr>
        <w:t>Proposals for changes to Notices</w:t>
      </w:r>
    </w:p>
    <w:p w:rsidR="00917BB0" w:rsidRPr="00917BB0" w:rsidRDefault="00917BB0" w:rsidP="00917BB0">
      <w:pPr>
        <w:rPr>
          <w:b/>
          <w:sz w:val="24"/>
          <w:szCs w:val="24"/>
        </w:rPr>
      </w:pPr>
      <w:r w:rsidRPr="00917BB0">
        <w:rPr>
          <w:b/>
          <w:sz w:val="24"/>
          <w:szCs w:val="24"/>
        </w:rPr>
        <w:t>Section 1: More detailed requirements for specific food processes</w:t>
      </w:r>
    </w:p>
    <w:p w:rsidR="00917BB0" w:rsidRPr="00917BB0" w:rsidRDefault="00917BB0" w:rsidP="00917BB0">
      <w:pPr>
        <w:rPr>
          <w:sz w:val="24"/>
          <w:szCs w:val="24"/>
        </w:rPr>
      </w:pPr>
      <w:r w:rsidRPr="00917BB0">
        <w:rPr>
          <w:sz w:val="24"/>
          <w:szCs w:val="24"/>
        </w:rPr>
        <w:t>1.1. Do you agree with the proposed food processing criteria?</w:t>
      </w:r>
    </w:p>
    <w:p w:rsidR="00917BB0" w:rsidRPr="00917BB0" w:rsidRDefault="00917BB0" w:rsidP="00917BB0">
      <w:pPr>
        <w:rPr>
          <w:sz w:val="24"/>
          <w:szCs w:val="24"/>
        </w:rPr>
      </w:pPr>
      <w:r w:rsidRPr="00917BB0">
        <w:rPr>
          <w:sz w:val="24"/>
          <w:szCs w:val="24"/>
        </w:rPr>
        <w:t xml:space="preserve">1.2. Are there alternative criteria for any of the above food processes that are in common use that will achieve the same level of control? For example, they need a longer time or higher temperature to pasteurise or bottle them safely, or use different criteria to be dried? </w:t>
      </w:r>
      <w:r w:rsidRPr="00917BB0">
        <w:rPr>
          <w:sz w:val="24"/>
          <w:szCs w:val="24"/>
        </w:rPr>
        <w:lastRenderedPageBreak/>
        <w:t>What are these, what bugs (harmful microorganisms) do they control, and what foods are the processes used for?</w:t>
      </w:r>
    </w:p>
    <w:p w:rsidR="00917BB0" w:rsidRPr="00917BB0" w:rsidRDefault="00917BB0" w:rsidP="00917BB0">
      <w:pPr>
        <w:rPr>
          <w:sz w:val="24"/>
          <w:szCs w:val="24"/>
        </w:rPr>
      </w:pPr>
      <w:r w:rsidRPr="00917BB0">
        <w:rPr>
          <w:sz w:val="24"/>
          <w:szCs w:val="24"/>
        </w:rPr>
        <w:t>1.3. Do you agree that where there are commonly-used alternative methods for any of the above food processes that will achieve the same level of control, and a business can show that their process will meet these criteria, the business should be able to operate under a national programme?</w:t>
      </w:r>
    </w:p>
    <w:p w:rsidR="00917BB0" w:rsidRPr="00917BB0" w:rsidRDefault="00917BB0" w:rsidP="00917BB0">
      <w:pPr>
        <w:rPr>
          <w:sz w:val="24"/>
          <w:szCs w:val="24"/>
        </w:rPr>
      </w:pPr>
      <w:r w:rsidRPr="00917BB0">
        <w:rPr>
          <w:sz w:val="24"/>
          <w:szCs w:val="24"/>
        </w:rPr>
        <w:t>1.4. Do you agree that businesses that wish to use alternative (unique) processing criteria to those proposed for notice should operate under a food control plan?</w:t>
      </w:r>
    </w:p>
    <w:p w:rsidR="00917BB0" w:rsidRPr="00917BB0" w:rsidRDefault="00917BB0" w:rsidP="00917BB0">
      <w:pPr>
        <w:rPr>
          <w:sz w:val="24"/>
          <w:szCs w:val="24"/>
        </w:rPr>
      </w:pPr>
    </w:p>
    <w:p w:rsidR="00917BB0" w:rsidRPr="00917BB0" w:rsidRDefault="00917BB0" w:rsidP="00917BB0">
      <w:pPr>
        <w:rPr>
          <w:b/>
          <w:sz w:val="24"/>
          <w:szCs w:val="24"/>
        </w:rPr>
      </w:pPr>
      <w:r w:rsidRPr="00917BB0">
        <w:rPr>
          <w:b/>
          <w:sz w:val="24"/>
          <w:szCs w:val="24"/>
        </w:rPr>
        <w:t>Section 2: Innovative and unique food processes</w:t>
      </w:r>
    </w:p>
    <w:p w:rsidR="00917BB0" w:rsidRPr="00917BB0" w:rsidRDefault="00917BB0" w:rsidP="00917BB0">
      <w:pPr>
        <w:rPr>
          <w:sz w:val="24"/>
          <w:szCs w:val="24"/>
        </w:rPr>
      </w:pPr>
      <w:r w:rsidRPr="00917BB0">
        <w:rPr>
          <w:sz w:val="24"/>
          <w:szCs w:val="24"/>
        </w:rPr>
        <w:t>2.1. Do you agree that a business using the innovative or unique processes on the above list should register a food control plan?</w:t>
      </w:r>
    </w:p>
    <w:p w:rsidR="00917BB0" w:rsidRPr="00917BB0" w:rsidRDefault="00917BB0" w:rsidP="00917BB0">
      <w:pPr>
        <w:rPr>
          <w:sz w:val="24"/>
          <w:szCs w:val="24"/>
        </w:rPr>
      </w:pPr>
      <w:r w:rsidRPr="00917BB0">
        <w:rPr>
          <w:sz w:val="24"/>
          <w:szCs w:val="24"/>
        </w:rPr>
        <w:t>2.2. Are there criteria that MPI could set for these processes where criteria haven’t been set? What are these, what bugs (harmful microorganisms) do they control, and what foods are the processes used for?</w:t>
      </w:r>
    </w:p>
    <w:p w:rsidR="00917BB0" w:rsidRPr="00917BB0" w:rsidRDefault="00917BB0" w:rsidP="00917BB0">
      <w:pPr>
        <w:rPr>
          <w:sz w:val="24"/>
          <w:szCs w:val="24"/>
        </w:rPr>
      </w:pPr>
      <w:r w:rsidRPr="00917BB0">
        <w:rPr>
          <w:sz w:val="24"/>
          <w:szCs w:val="24"/>
        </w:rPr>
        <w:t xml:space="preserve">2.3. Are there other innovative or unique processes operated under national programmes that should be added to the list above? </w:t>
      </w:r>
    </w:p>
    <w:p w:rsidR="00917BB0" w:rsidRPr="00917BB0" w:rsidRDefault="00917BB0" w:rsidP="00917BB0">
      <w:pPr>
        <w:rPr>
          <w:sz w:val="24"/>
          <w:szCs w:val="24"/>
        </w:rPr>
      </w:pPr>
      <w:r w:rsidRPr="00917BB0">
        <w:rPr>
          <w:sz w:val="24"/>
          <w:szCs w:val="24"/>
        </w:rPr>
        <w:t>2.4. Do you agree that where process criteria have not been set for a food process, businesses should operate the process under a food control plan?</w:t>
      </w:r>
    </w:p>
    <w:p w:rsidR="00917BB0" w:rsidRPr="00917BB0" w:rsidRDefault="00917BB0" w:rsidP="00917BB0">
      <w:pPr>
        <w:rPr>
          <w:sz w:val="24"/>
          <w:szCs w:val="24"/>
        </w:rPr>
      </w:pPr>
    </w:p>
    <w:p w:rsidR="00917BB0" w:rsidRPr="00917BB0" w:rsidRDefault="00917BB0" w:rsidP="00917BB0">
      <w:pPr>
        <w:rPr>
          <w:b/>
          <w:sz w:val="24"/>
          <w:szCs w:val="24"/>
        </w:rPr>
      </w:pPr>
      <w:r w:rsidRPr="00917BB0">
        <w:rPr>
          <w:b/>
          <w:sz w:val="24"/>
          <w:szCs w:val="24"/>
        </w:rPr>
        <w:t>Section 3: Low acid canning</w:t>
      </w:r>
    </w:p>
    <w:p w:rsidR="00917BB0" w:rsidRPr="00917BB0" w:rsidRDefault="00917BB0" w:rsidP="00917BB0">
      <w:pPr>
        <w:rPr>
          <w:sz w:val="24"/>
          <w:szCs w:val="24"/>
        </w:rPr>
      </w:pPr>
      <w:r w:rsidRPr="00917BB0">
        <w:rPr>
          <w:sz w:val="24"/>
          <w:szCs w:val="24"/>
        </w:rPr>
        <w:t>3.1. Do you agree that low-acid canning requirements should be revoked from regulation and re-stated in a notice under the Food Act 2014?</w:t>
      </w:r>
    </w:p>
    <w:p w:rsidR="00917BB0" w:rsidRPr="00917BB0" w:rsidRDefault="00917BB0" w:rsidP="00917BB0">
      <w:pPr>
        <w:rPr>
          <w:sz w:val="24"/>
          <w:szCs w:val="24"/>
        </w:rPr>
      </w:pPr>
    </w:p>
    <w:p w:rsidR="00917BB0" w:rsidRPr="00917BB0" w:rsidRDefault="00917BB0" w:rsidP="00917BB0">
      <w:pPr>
        <w:rPr>
          <w:b/>
          <w:sz w:val="24"/>
          <w:szCs w:val="24"/>
        </w:rPr>
      </w:pPr>
      <w:r w:rsidRPr="00917BB0">
        <w:rPr>
          <w:b/>
          <w:sz w:val="24"/>
          <w:szCs w:val="24"/>
        </w:rPr>
        <w:t>Section 4: Changes to the Food Notices</w:t>
      </w:r>
    </w:p>
    <w:p w:rsidR="002E5265" w:rsidRPr="00917BB0" w:rsidRDefault="00917BB0" w:rsidP="00917BB0">
      <w:pPr>
        <w:rPr>
          <w:sz w:val="24"/>
          <w:szCs w:val="24"/>
        </w:rPr>
      </w:pPr>
      <w:r w:rsidRPr="00917BB0">
        <w:rPr>
          <w:sz w:val="24"/>
          <w:szCs w:val="24"/>
        </w:rPr>
        <w:t>4.1. Do you have any concerns relating to the proposed changes to the Food Notices?</w:t>
      </w:r>
    </w:p>
    <w:sectPr w:rsidR="002E5265" w:rsidRPr="00917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3E"/>
    <w:multiLevelType w:val="hybridMultilevel"/>
    <w:tmpl w:val="75DAB560"/>
    <w:lvl w:ilvl="0" w:tplc="D5F25646">
      <w:start w:val="1"/>
      <w:numFmt w:val="decimal"/>
      <w:lvlText w:val="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6727B9F"/>
    <w:multiLevelType w:val="hybridMultilevel"/>
    <w:tmpl w:val="FD50A884"/>
    <w:lvl w:ilvl="0" w:tplc="DF487A44">
      <w:start w:val="2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2D05A26"/>
    <w:multiLevelType w:val="multilevel"/>
    <w:tmpl w:val="08561A3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D7116E"/>
    <w:multiLevelType w:val="hybridMultilevel"/>
    <w:tmpl w:val="FDDC7EFC"/>
    <w:lvl w:ilvl="0" w:tplc="E796FCFE">
      <w:start w:val="1"/>
      <w:numFmt w:val="decimal"/>
      <w:pStyle w:val="questionboxtext"/>
      <w:lvlText w:val="%1."/>
      <w:lvlJc w:val="left"/>
      <w:pPr>
        <w:ind w:left="1290" w:hanging="360"/>
      </w:pPr>
      <w:rPr>
        <w:rFonts w:ascii="Times New Roman" w:hAnsi="Times New Roman" w:hint="default"/>
        <w:b/>
        <w:i w:val="0"/>
        <w:caps w:val="0"/>
        <w:strike w:val="0"/>
        <w:dstrike w:val="0"/>
        <w:outline w:val="0"/>
        <w:shadow w:val="0"/>
        <w:emboss w:val="0"/>
        <w:imprint w:val="0"/>
        <w:vanish w:val="0"/>
        <w:position w:val="0"/>
        <w:sz w:val="24"/>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B650D8"/>
    <w:multiLevelType w:val="hybridMultilevel"/>
    <w:tmpl w:val="8334096A"/>
    <w:lvl w:ilvl="0" w:tplc="062865AC">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0C4A4E"/>
    <w:multiLevelType w:val="hybridMultilevel"/>
    <w:tmpl w:val="A6E66DBA"/>
    <w:lvl w:ilvl="0" w:tplc="675813D0">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B265F6"/>
    <w:multiLevelType w:val="hybridMultilevel"/>
    <w:tmpl w:val="C8B2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FB54AF"/>
    <w:multiLevelType w:val="hybridMultilevel"/>
    <w:tmpl w:val="001EC1BA"/>
    <w:lvl w:ilvl="0" w:tplc="8EFE45CA">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A03946"/>
    <w:multiLevelType w:val="hybridMultilevel"/>
    <w:tmpl w:val="C84A3AB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3C"/>
    <w:rsid w:val="00213B3C"/>
    <w:rsid w:val="002E5265"/>
    <w:rsid w:val="00917BB0"/>
    <w:rsid w:val="00AE123B"/>
    <w:rsid w:val="00B76D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ADC6-3E1C-4740-A849-4295AAB8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3C"/>
  </w:style>
  <w:style w:type="paragraph" w:styleId="Heading1">
    <w:name w:val="heading 1"/>
    <w:next w:val="Normal"/>
    <w:link w:val="Heading1Char"/>
    <w:qFormat/>
    <w:rsid w:val="00B76DE5"/>
    <w:pPr>
      <w:keepNext/>
      <w:numPr>
        <w:numId w:val="6"/>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B76DE5"/>
    <w:pPr>
      <w:numPr>
        <w:ilvl w:val="1"/>
      </w:numPr>
      <w:outlineLvl w:val="1"/>
    </w:pPr>
    <w:rPr>
      <w:caps/>
      <w:sz w:val="28"/>
    </w:rPr>
  </w:style>
  <w:style w:type="paragraph" w:styleId="Heading3">
    <w:name w:val="heading 3"/>
    <w:basedOn w:val="Heading2"/>
    <w:next w:val="Normal"/>
    <w:link w:val="Heading3Char"/>
    <w:qFormat/>
    <w:rsid w:val="00B76DE5"/>
    <w:pPr>
      <w:numPr>
        <w:ilvl w:val="2"/>
      </w:numPr>
      <w:outlineLvl w:val="2"/>
    </w:pPr>
    <w:rPr>
      <w:caps w:val="0"/>
      <w:sz w:val="24"/>
    </w:rPr>
  </w:style>
  <w:style w:type="paragraph" w:styleId="Heading5">
    <w:name w:val="heading 5"/>
    <w:basedOn w:val="Normal"/>
    <w:next w:val="Normal"/>
    <w:link w:val="Heading5Char"/>
    <w:semiHidden/>
    <w:unhideWhenUsed/>
    <w:qFormat/>
    <w:rsid w:val="00B76DE5"/>
    <w:pPr>
      <w:numPr>
        <w:ilvl w:val="4"/>
        <w:numId w:val="6"/>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76DE5"/>
    <w:pPr>
      <w:numPr>
        <w:ilvl w:val="5"/>
        <w:numId w:val="6"/>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76DE5"/>
    <w:pPr>
      <w:numPr>
        <w:ilvl w:val="6"/>
        <w:numId w:val="6"/>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76DE5"/>
    <w:pPr>
      <w:numPr>
        <w:ilvl w:val="7"/>
        <w:numId w:val="6"/>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76DE5"/>
    <w:pPr>
      <w:numPr>
        <w:ilvl w:val="8"/>
        <w:numId w:val="6"/>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B3C"/>
    <w:pPr>
      <w:ind w:left="720"/>
      <w:contextualSpacing/>
    </w:pPr>
  </w:style>
  <w:style w:type="paragraph" w:customStyle="1" w:styleId="questionboxtext">
    <w:name w:val="question box text"/>
    <w:basedOn w:val="Normal"/>
    <w:next w:val="Normal"/>
    <w:link w:val="questionboxtextChar"/>
    <w:qFormat/>
    <w:rsid w:val="00213B3C"/>
    <w:pPr>
      <w:keepNext/>
      <w:numPr>
        <w:numId w:val="1"/>
      </w:numPr>
      <w:tabs>
        <w:tab w:val="left" w:pos="567"/>
      </w:tabs>
      <w:spacing w:before="120" w:after="120" w:line="240" w:lineRule="auto"/>
    </w:pPr>
    <w:rPr>
      <w:rFonts w:ascii="Times New Roman" w:eastAsia="Times New Roman" w:hAnsi="Times New Roman" w:cs="Times New Roman"/>
      <w:b/>
      <w:color w:val="000000" w:themeColor="text1"/>
      <w:sz w:val="24"/>
      <w:szCs w:val="24"/>
    </w:rPr>
  </w:style>
  <w:style w:type="character" w:customStyle="1" w:styleId="questionboxtextChar">
    <w:name w:val="question box text Char"/>
    <w:basedOn w:val="DefaultParagraphFont"/>
    <w:link w:val="questionboxtext"/>
    <w:rsid w:val="00213B3C"/>
    <w:rPr>
      <w:rFonts w:ascii="Times New Roman" w:eastAsia="Times New Roman" w:hAnsi="Times New Roman" w:cs="Times New Roman"/>
      <w:b/>
      <w:color w:val="000000" w:themeColor="text1"/>
      <w:sz w:val="24"/>
      <w:szCs w:val="24"/>
    </w:rPr>
  </w:style>
  <w:style w:type="character" w:customStyle="1" w:styleId="Heading1Char">
    <w:name w:val="Heading 1 Char"/>
    <w:basedOn w:val="DefaultParagraphFont"/>
    <w:link w:val="Heading1"/>
    <w:rsid w:val="00B76DE5"/>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B76DE5"/>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B76DE5"/>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B76DE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76DE5"/>
    <w:rPr>
      <w:rFonts w:ascii="Calibri" w:eastAsia="Times New Roman" w:hAnsi="Calibri" w:cs="Times New Roman"/>
      <w:b/>
      <w:bCs/>
    </w:rPr>
  </w:style>
  <w:style w:type="character" w:customStyle="1" w:styleId="Heading7Char">
    <w:name w:val="Heading 7 Char"/>
    <w:basedOn w:val="DefaultParagraphFont"/>
    <w:link w:val="Heading7"/>
    <w:semiHidden/>
    <w:rsid w:val="00B76DE5"/>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B76DE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B76DE5"/>
    <w:rPr>
      <w:rFonts w:ascii="Cambria" w:eastAsia="Times New Roman" w:hAnsi="Cambria" w:cs="Times New Roman"/>
    </w:rPr>
  </w:style>
  <w:style w:type="paragraph" w:customStyle="1" w:styleId="Default">
    <w:name w:val="Default"/>
    <w:rsid w:val="00B76DE5"/>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consultation 25 October 2016 - List of questions</dc:title>
  <dc:subject/>
  <dc:creator>Naomi Landau</dc:creator>
  <cp:keywords/>
  <dc:description/>
  <cp:lastModifiedBy>Theresa Van Der Vyver</cp:lastModifiedBy>
  <cp:revision>2</cp:revision>
  <dcterms:created xsi:type="dcterms:W3CDTF">2016-10-24T21:09:00Z</dcterms:created>
  <dcterms:modified xsi:type="dcterms:W3CDTF">2016-10-24T21:09:00Z</dcterms:modified>
</cp:coreProperties>
</file>