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E62BE" w14:textId="75ACBE78" w:rsidR="00C112E1" w:rsidRPr="00C112E1" w:rsidRDefault="00CB3038" w:rsidP="007D3357">
      <w:pPr>
        <w:pBdr>
          <w:bottom w:val="single" w:sz="6" w:space="30" w:color="D1D1D1"/>
        </w:pBdr>
        <w:shd w:val="clear" w:color="auto" w:fill="FFFFFF"/>
        <w:spacing w:after="0" w:line="240" w:lineRule="auto"/>
        <w:textAlignment w:val="baseline"/>
        <w:outlineLvl w:val="0"/>
        <w:rPr>
          <w:rFonts w:ascii="Arial" w:eastAsia="Times New Roman" w:hAnsi="Arial" w:cs="Arial"/>
          <w:b/>
          <w:bCs/>
          <w:color w:val="818181"/>
          <w:kern w:val="36"/>
          <w:sz w:val="48"/>
          <w:szCs w:val="48"/>
          <w:lang w:eastAsia="en-NZ"/>
        </w:rPr>
      </w:pPr>
      <w:r>
        <w:rPr>
          <w:rFonts w:ascii="Arial" w:eastAsia="Times New Roman" w:hAnsi="Arial" w:cs="Arial"/>
          <w:b/>
          <w:bCs/>
          <w:color w:val="818181"/>
          <w:kern w:val="36"/>
          <w:sz w:val="48"/>
          <w:szCs w:val="48"/>
          <w:lang w:eastAsia="en-NZ"/>
        </w:rPr>
        <w:t>MPI</w:t>
      </w:r>
      <w:r w:rsidR="00C112E1" w:rsidRPr="00C112E1">
        <w:rPr>
          <w:rFonts w:ascii="Arial" w:eastAsia="Times New Roman" w:hAnsi="Arial" w:cs="Arial"/>
          <w:b/>
          <w:bCs/>
          <w:color w:val="818181"/>
          <w:kern w:val="36"/>
          <w:sz w:val="48"/>
          <w:szCs w:val="48"/>
          <w:lang w:eastAsia="en-NZ"/>
        </w:rPr>
        <w:t xml:space="preserve"> Policy Statement on Roles and Responsibilities for the Safety of Non-commercial Food</w:t>
      </w:r>
    </w:p>
    <w:p w14:paraId="360EEF7C" w14:textId="77777777" w:rsidR="00C112E1" w:rsidRPr="00C112E1" w:rsidRDefault="00C112E1"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‘Non commercial' food is food </w:t>
      </w:r>
      <w:r w:rsidRPr="00C112E1">
        <w:rPr>
          <w:rFonts w:ascii="inherit" w:eastAsia="Times New Roman" w:hAnsi="inherit" w:cs="Arial"/>
          <w:i/>
          <w:iCs/>
          <w:color w:val="333333"/>
          <w:sz w:val="24"/>
          <w:szCs w:val="24"/>
          <w:lang w:eastAsia="en-NZ"/>
        </w:rPr>
        <w:t>not intended for sale. </w:t>
      </w:r>
      <w:r w:rsidRPr="00C112E1">
        <w:rPr>
          <w:rFonts w:ascii="inherit" w:eastAsia="Times New Roman" w:hAnsi="inherit" w:cs="Arial"/>
          <w:color w:val="333333"/>
          <w:sz w:val="24"/>
          <w:szCs w:val="24"/>
          <w:lang w:eastAsia="en-NZ"/>
        </w:rPr>
        <w:t>Non-commercial food activities include wild food gathering, hunting, and recreational catch; and home vegetable gardening, fruit cultivation, rearing domestic animals for food, homekill slaughter, and home cooking.</w:t>
      </w:r>
    </w:p>
    <w:p w14:paraId="7606476D" w14:textId="77777777" w:rsidR="00C112E1" w:rsidRPr="00C112E1" w:rsidRDefault="00C112E1"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Activities where people grow, take, hunt, fish and/or process 'non-commercial' food are recognised as part of the traditional Kiwi way of life. The consumption of non-commercial food is important to many cultures, including Māori and Pacific Island.</w:t>
      </w:r>
    </w:p>
    <w:p w14:paraId="69EF2990" w14:textId="35DB0ECC" w:rsidR="00C112E1" w:rsidRPr="00C112E1" w:rsidRDefault="00C112E1"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The New Zealand Food Safety Authority (</w:t>
      </w:r>
      <w:r w:rsidR="00CB3038">
        <w:rPr>
          <w:rFonts w:ascii="inherit" w:eastAsia="Times New Roman" w:hAnsi="inherit" w:cs="Arial"/>
          <w:color w:val="333333"/>
          <w:sz w:val="24"/>
          <w:szCs w:val="24"/>
          <w:lang w:eastAsia="en-NZ"/>
        </w:rPr>
        <w:t>MPI</w:t>
      </w:r>
      <w:r w:rsidRPr="00C112E1">
        <w:rPr>
          <w:rFonts w:ascii="inherit" w:eastAsia="Times New Roman" w:hAnsi="inherit" w:cs="Arial"/>
          <w:color w:val="333333"/>
          <w:sz w:val="24"/>
          <w:szCs w:val="24"/>
          <w:lang w:eastAsia="en-NZ"/>
        </w:rPr>
        <w:t>) generally does not regulate non-commercial food. This means that non-commercial food and related activities are generally not subject to legal requirements for food safety.</w:t>
      </w:r>
    </w:p>
    <w:p w14:paraId="171A7B04" w14:textId="77777777" w:rsidR="00C112E1" w:rsidRPr="00C112E1" w:rsidRDefault="00C112E1"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Non-regulatory intervention is more appropriate, efficient and effective in managing associated risks, such as those to New Zealand’s public health and international reputation as a trusted supplier of safe food. This includes providing information and advice (‘risk communication’) that supports safe food practices, decisions and consumption within the community, home, and marae.</w:t>
      </w:r>
    </w:p>
    <w:p w14:paraId="6DEE0C09" w14:textId="67C30580" w:rsidR="00C112E1" w:rsidRPr="00C112E1" w:rsidRDefault="00CB3038"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r>
        <w:rPr>
          <w:rFonts w:ascii="inherit" w:eastAsia="Times New Roman" w:hAnsi="inherit" w:cs="Arial"/>
          <w:color w:val="333333"/>
          <w:sz w:val="24"/>
          <w:szCs w:val="24"/>
          <w:lang w:eastAsia="en-NZ"/>
        </w:rPr>
        <w:t>MPI</w:t>
      </w:r>
      <w:r w:rsidRPr="00C112E1">
        <w:rPr>
          <w:rFonts w:ascii="inherit" w:eastAsia="Times New Roman" w:hAnsi="inherit" w:cs="Arial"/>
          <w:color w:val="333333"/>
          <w:sz w:val="24"/>
          <w:szCs w:val="24"/>
          <w:lang w:eastAsia="en-NZ"/>
        </w:rPr>
        <w:t xml:space="preserve"> </w:t>
      </w:r>
      <w:r w:rsidR="00C112E1" w:rsidRPr="00C112E1">
        <w:rPr>
          <w:rFonts w:ascii="inherit" w:eastAsia="Times New Roman" w:hAnsi="inherit" w:cs="Arial"/>
          <w:color w:val="333333"/>
          <w:sz w:val="24"/>
          <w:szCs w:val="24"/>
          <w:lang w:eastAsia="en-NZ"/>
        </w:rPr>
        <w:t>currently carries out the following non-regulatory roles and responsibilities to manage risks associated with non-commercial food and related activities:</w:t>
      </w:r>
    </w:p>
    <w:p w14:paraId="6050AF53" w14:textId="77777777" w:rsidR="00C112E1" w:rsidRPr="00C112E1" w:rsidRDefault="00C112E1" w:rsidP="00C112E1">
      <w:pPr>
        <w:shd w:val="clear" w:color="auto" w:fill="FFFFFF"/>
        <w:spacing w:after="0" w:line="330" w:lineRule="atLeast"/>
        <w:ind w:left="960" w:hanging="480"/>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bdr w:val="none" w:sz="0" w:space="0" w:color="auto" w:frame="1"/>
          <w:lang w:eastAsia="en-NZ"/>
        </w:rPr>
        <w:t>• </w:t>
      </w:r>
      <w:r w:rsidRPr="00C112E1">
        <w:rPr>
          <w:rFonts w:ascii="inherit" w:eastAsia="Times New Roman" w:hAnsi="inherit" w:cs="Arial"/>
          <w:color w:val="333333"/>
          <w:sz w:val="24"/>
          <w:szCs w:val="24"/>
          <w:lang w:eastAsia="en-NZ"/>
        </w:rPr>
        <w:t>providing science-based information to consumers on safe handling of food in their home and communities, including avoiding risks arising from inadequate hygiene, transporting, storing, and cooking, for example:</w:t>
      </w:r>
    </w:p>
    <w:p w14:paraId="1262FF50" w14:textId="77777777" w:rsidR="00C112E1" w:rsidRPr="00C112E1" w:rsidRDefault="00C112E1" w:rsidP="00C112E1">
      <w:pPr>
        <w:shd w:val="clear" w:color="auto" w:fill="FFFFFF"/>
        <w:spacing w:after="300" w:line="330" w:lineRule="atLeast"/>
        <w:ind w:left="960" w:hanging="480"/>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 the ‘Food Smart: Clean. Cook. Chill’ consumer awareness campaign for food safety; and</w:t>
      </w:r>
    </w:p>
    <w:p w14:paraId="7AE952B6" w14:textId="77777777" w:rsidR="00C112E1" w:rsidRPr="00C112E1" w:rsidRDefault="00C112E1" w:rsidP="00C112E1">
      <w:pPr>
        <w:shd w:val="clear" w:color="auto" w:fill="FFFFFF"/>
        <w:spacing w:after="300" w:line="330" w:lineRule="atLeast"/>
        <w:ind w:left="960" w:hanging="480"/>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 the Wild Food Safety DVD and two complementary booklets: </w:t>
      </w:r>
      <w:r w:rsidRPr="00C112E1">
        <w:rPr>
          <w:rFonts w:ascii="inherit" w:eastAsia="Times New Roman" w:hAnsi="inherit" w:cs="Arial"/>
          <w:i/>
          <w:iCs/>
          <w:color w:val="333333"/>
          <w:sz w:val="24"/>
          <w:szCs w:val="24"/>
          <w:lang w:eastAsia="en-NZ"/>
        </w:rPr>
        <w:t>Food Safety for Hunters </w:t>
      </w:r>
      <w:r w:rsidRPr="00C112E1">
        <w:rPr>
          <w:rFonts w:ascii="inherit" w:eastAsia="Times New Roman" w:hAnsi="inherit" w:cs="Arial"/>
          <w:color w:val="333333"/>
          <w:sz w:val="24"/>
          <w:szCs w:val="24"/>
          <w:lang w:eastAsia="en-NZ"/>
        </w:rPr>
        <w:t>and </w:t>
      </w:r>
      <w:r w:rsidRPr="00C112E1">
        <w:rPr>
          <w:rFonts w:ascii="inherit" w:eastAsia="Times New Roman" w:hAnsi="inherit" w:cs="Arial"/>
          <w:i/>
          <w:iCs/>
          <w:color w:val="333333"/>
          <w:sz w:val="24"/>
          <w:szCs w:val="24"/>
          <w:lang w:eastAsia="en-NZ"/>
        </w:rPr>
        <w:t>Food Safety for Seafood Gatherers</w:t>
      </w:r>
      <w:r w:rsidRPr="00C112E1">
        <w:rPr>
          <w:rFonts w:ascii="inherit" w:eastAsia="Times New Roman" w:hAnsi="inherit" w:cs="Arial"/>
          <w:color w:val="333333"/>
          <w:sz w:val="24"/>
          <w:szCs w:val="24"/>
          <w:lang w:eastAsia="en-NZ"/>
        </w:rPr>
        <w:t>;</w:t>
      </w:r>
    </w:p>
    <w:p w14:paraId="6417083A" w14:textId="53981891" w:rsidR="00C112E1" w:rsidRPr="00C112E1" w:rsidRDefault="00C112E1" w:rsidP="00C112E1">
      <w:pPr>
        <w:shd w:val="clear" w:color="auto" w:fill="FFFFFF"/>
        <w:spacing w:after="0" w:line="330" w:lineRule="atLeast"/>
        <w:ind w:left="960" w:hanging="480"/>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bdr w:val="none" w:sz="0" w:space="0" w:color="auto" w:frame="1"/>
          <w:lang w:eastAsia="en-NZ"/>
        </w:rPr>
        <w:t>• </w:t>
      </w:r>
      <w:r w:rsidRPr="00C112E1">
        <w:rPr>
          <w:rFonts w:ascii="inherit" w:eastAsia="Times New Roman" w:hAnsi="inherit" w:cs="Arial"/>
          <w:color w:val="333333"/>
          <w:sz w:val="24"/>
          <w:szCs w:val="24"/>
          <w:lang w:eastAsia="en-NZ"/>
        </w:rPr>
        <w:t xml:space="preserve">providing targeted information for different groups of New Zealanders, including working with Māori under </w:t>
      </w:r>
      <w:r w:rsidR="00CB3038">
        <w:rPr>
          <w:rFonts w:ascii="inherit" w:eastAsia="Times New Roman" w:hAnsi="inherit" w:cs="Arial"/>
          <w:color w:val="333333"/>
          <w:sz w:val="24"/>
          <w:szCs w:val="24"/>
          <w:lang w:eastAsia="en-NZ"/>
        </w:rPr>
        <w:t>MPI’s</w:t>
      </w:r>
      <w:r w:rsidR="00CB3038" w:rsidRPr="00C112E1">
        <w:rPr>
          <w:rFonts w:ascii="inherit" w:eastAsia="Times New Roman" w:hAnsi="inherit" w:cs="Arial"/>
          <w:color w:val="333333"/>
          <w:sz w:val="24"/>
          <w:szCs w:val="24"/>
          <w:lang w:eastAsia="en-NZ"/>
        </w:rPr>
        <w:t xml:space="preserve"> </w:t>
      </w:r>
      <w:r w:rsidRPr="00C112E1">
        <w:rPr>
          <w:rFonts w:ascii="inherit" w:eastAsia="Times New Roman" w:hAnsi="inherit" w:cs="Arial"/>
          <w:color w:val="333333"/>
          <w:sz w:val="24"/>
          <w:szCs w:val="24"/>
          <w:lang w:eastAsia="en-NZ"/>
        </w:rPr>
        <w:t>‘Shared Vision’ Strategy, and the Pacific community through ‘Umu Pasifika’;</w:t>
      </w:r>
    </w:p>
    <w:p w14:paraId="62A37980" w14:textId="1712C1D3" w:rsidR="00C112E1" w:rsidRPr="00C112E1" w:rsidRDefault="00C112E1" w:rsidP="00C112E1">
      <w:pPr>
        <w:shd w:val="clear" w:color="auto" w:fill="FFFFFF"/>
        <w:spacing w:after="0" w:line="330" w:lineRule="atLeast"/>
        <w:ind w:left="960" w:hanging="480"/>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bdr w:val="none" w:sz="0" w:space="0" w:color="auto" w:frame="1"/>
          <w:lang w:eastAsia="en-NZ"/>
        </w:rPr>
        <w:t>• </w:t>
      </w:r>
      <w:r w:rsidRPr="00C112E1">
        <w:rPr>
          <w:rFonts w:ascii="inherit" w:eastAsia="Times New Roman" w:hAnsi="inherit" w:cs="Arial"/>
          <w:color w:val="333333"/>
          <w:sz w:val="24"/>
          <w:szCs w:val="24"/>
          <w:lang w:eastAsia="en-NZ"/>
        </w:rPr>
        <w:t xml:space="preserve">working with consumer groups and conducting consumer surveys, so that </w:t>
      </w:r>
      <w:r w:rsidR="00CB3038">
        <w:rPr>
          <w:rFonts w:ascii="inherit" w:eastAsia="Times New Roman" w:hAnsi="inherit" w:cs="Arial"/>
          <w:color w:val="333333"/>
          <w:sz w:val="24"/>
          <w:szCs w:val="24"/>
          <w:lang w:eastAsia="en-NZ"/>
        </w:rPr>
        <w:t>MPI</w:t>
      </w:r>
      <w:r w:rsidR="00CB3038" w:rsidRPr="00C112E1">
        <w:rPr>
          <w:rFonts w:ascii="inherit" w:eastAsia="Times New Roman" w:hAnsi="inherit" w:cs="Arial"/>
          <w:color w:val="333333"/>
          <w:sz w:val="24"/>
          <w:szCs w:val="24"/>
          <w:lang w:eastAsia="en-NZ"/>
        </w:rPr>
        <w:t xml:space="preserve"> </w:t>
      </w:r>
      <w:r w:rsidRPr="00C112E1">
        <w:rPr>
          <w:rFonts w:ascii="inherit" w:eastAsia="Times New Roman" w:hAnsi="inherit" w:cs="Arial"/>
          <w:color w:val="333333"/>
          <w:sz w:val="24"/>
          <w:szCs w:val="24"/>
          <w:lang w:eastAsia="en-NZ"/>
        </w:rPr>
        <w:t xml:space="preserve">is informed about their food safety concerns, what they are eating, their food handling </w:t>
      </w:r>
      <w:r w:rsidRPr="00C112E1">
        <w:rPr>
          <w:rFonts w:ascii="inherit" w:eastAsia="Times New Roman" w:hAnsi="inherit" w:cs="Arial"/>
          <w:color w:val="333333"/>
          <w:sz w:val="24"/>
          <w:szCs w:val="24"/>
          <w:lang w:eastAsia="en-NZ"/>
        </w:rPr>
        <w:lastRenderedPageBreak/>
        <w:t>practices in the home and community, and how food choices may be affecting their longer-term health;</w:t>
      </w:r>
    </w:p>
    <w:p w14:paraId="34791AF0" w14:textId="77777777" w:rsidR="00C112E1" w:rsidRPr="00C112E1" w:rsidRDefault="00C112E1" w:rsidP="00C112E1">
      <w:pPr>
        <w:shd w:val="clear" w:color="auto" w:fill="FFFFFF"/>
        <w:spacing w:after="0" w:line="330" w:lineRule="atLeast"/>
        <w:ind w:left="960" w:hanging="480"/>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bdr w:val="none" w:sz="0" w:space="0" w:color="auto" w:frame="1"/>
          <w:lang w:eastAsia="en-NZ"/>
        </w:rPr>
        <w:t>• </w:t>
      </w:r>
      <w:r w:rsidRPr="00C112E1">
        <w:rPr>
          <w:rFonts w:ascii="inherit" w:eastAsia="Times New Roman" w:hAnsi="inherit" w:cs="Arial"/>
          <w:color w:val="333333"/>
          <w:sz w:val="24"/>
          <w:szCs w:val="24"/>
          <w:lang w:eastAsia="en-NZ"/>
        </w:rPr>
        <w:t>providing a monitoring programme for marine biotoxins in recreational shellfish and providing Public Health Units with data to implement appropriate public health responses, in cooperation with Territorial Authorities and Regional Councils, for unsafe recreational shellfish around New Zealand; and</w:t>
      </w:r>
    </w:p>
    <w:p w14:paraId="250B3132" w14:textId="77777777" w:rsidR="00C112E1" w:rsidRPr="00CB3038" w:rsidRDefault="00C112E1" w:rsidP="00C112E1">
      <w:pPr>
        <w:shd w:val="clear" w:color="auto" w:fill="FFFFFF"/>
        <w:spacing w:after="0" w:line="330" w:lineRule="atLeast"/>
        <w:ind w:left="960" w:hanging="480"/>
        <w:textAlignment w:val="baseline"/>
        <w:rPr>
          <w:rFonts w:ascii="inherit" w:eastAsia="Times New Roman" w:hAnsi="inherit" w:cs="Arial"/>
          <w:color w:val="333333"/>
          <w:sz w:val="18"/>
          <w:szCs w:val="24"/>
          <w:lang w:eastAsia="en-NZ"/>
        </w:rPr>
      </w:pPr>
      <w:r w:rsidRPr="00C112E1">
        <w:rPr>
          <w:rFonts w:ascii="inherit" w:eastAsia="Times New Roman" w:hAnsi="inherit" w:cs="Arial"/>
          <w:color w:val="333333"/>
          <w:sz w:val="24"/>
          <w:szCs w:val="24"/>
          <w:bdr w:val="none" w:sz="0" w:space="0" w:color="auto" w:frame="1"/>
          <w:lang w:eastAsia="en-NZ"/>
        </w:rPr>
        <w:t>• </w:t>
      </w:r>
      <w:r w:rsidRPr="00C112E1">
        <w:rPr>
          <w:rFonts w:ascii="inherit" w:eastAsia="Times New Roman" w:hAnsi="inherit" w:cs="Arial"/>
          <w:color w:val="333333"/>
          <w:sz w:val="24"/>
          <w:szCs w:val="24"/>
          <w:lang w:eastAsia="en-NZ"/>
        </w:rPr>
        <w:t>providing specific advice to local government, central government, and international agencies regarding all food safety issues, relating to both commercial and </w:t>
      </w:r>
      <w:r w:rsidRPr="00C112E1">
        <w:rPr>
          <w:rFonts w:ascii="inherit" w:eastAsia="Times New Roman" w:hAnsi="inherit" w:cs="Arial"/>
          <w:color w:val="333333"/>
          <w:sz w:val="24"/>
          <w:szCs w:val="24"/>
          <w:lang w:eastAsia="en-NZ"/>
        </w:rPr>
        <w:br/>
        <w:t>non-commercial food.</w:t>
      </w:r>
    </w:p>
    <w:p w14:paraId="50953E72" w14:textId="77777777" w:rsidR="00CB3038" w:rsidRPr="00CB3038" w:rsidRDefault="00CB3038" w:rsidP="00C112E1">
      <w:pPr>
        <w:shd w:val="clear" w:color="auto" w:fill="FFFFFF"/>
        <w:spacing w:after="0" w:line="330" w:lineRule="atLeast"/>
        <w:ind w:left="960" w:hanging="480"/>
        <w:textAlignment w:val="baseline"/>
        <w:rPr>
          <w:rFonts w:ascii="inherit" w:eastAsia="Times New Roman" w:hAnsi="inherit" w:cs="Arial"/>
          <w:color w:val="333333"/>
          <w:sz w:val="18"/>
          <w:szCs w:val="24"/>
          <w:lang w:eastAsia="en-NZ"/>
        </w:rPr>
      </w:pPr>
    </w:p>
    <w:p w14:paraId="396B13FF" w14:textId="0FD1283F" w:rsidR="00C112E1" w:rsidRPr="00C112E1" w:rsidRDefault="00C112E1" w:rsidP="00CB3038">
      <w:pPr>
        <w:shd w:val="clear" w:color="auto" w:fill="FFFFFF"/>
        <w:spacing w:after="12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b/>
          <w:bCs/>
          <w:color w:val="333333"/>
          <w:sz w:val="24"/>
          <w:szCs w:val="24"/>
          <w:lang w:eastAsia="en-NZ"/>
        </w:rPr>
        <w:t xml:space="preserve">Background to </w:t>
      </w:r>
      <w:r w:rsidRPr="00CB3038">
        <w:rPr>
          <w:rFonts w:ascii="inherit" w:eastAsia="Times New Roman" w:hAnsi="inherit" w:cs="Arial"/>
          <w:b/>
          <w:bCs/>
          <w:color w:val="333333"/>
          <w:sz w:val="24"/>
          <w:szCs w:val="24"/>
          <w:lang w:eastAsia="en-NZ"/>
        </w:rPr>
        <w:t xml:space="preserve">the </w:t>
      </w:r>
      <w:r w:rsidR="00CB3038" w:rsidRPr="00CB3038">
        <w:rPr>
          <w:rFonts w:ascii="inherit" w:eastAsia="Times New Roman" w:hAnsi="inherit" w:cs="Arial"/>
          <w:b/>
          <w:color w:val="333333"/>
          <w:sz w:val="24"/>
          <w:szCs w:val="24"/>
          <w:lang w:eastAsia="en-NZ"/>
        </w:rPr>
        <w:t>MPI</w:t>
      </w:r>
      <w:r w:rsidR="00CB3038" w:rsidRPr="00CB3038">
        <w:rPr>
          <w:rFonts w:ascii="inherit" w:eastAsia="Times New Roman" w:hAnsi="inherit" w:cs="Arial"/>
          <w:b/>
          <w:bCs/>
          <w:color w:val="333333"/>
          <w:sz w:val="24"/>
          <w:szCs w:val="24"/>
          <w:lang w:eastAsia="en-NZ"/>
        </w:rPr>
        <w:t xml:space="preserve"> </w:t>
      </w:r>
      <w:r w:rsidRPr="00CB3038">
        <w:rPr>
          <w:rFonts w:ascii="inherit" w:eastAsia="Times New Roman" w:hAnsi="inherit" w:cs="Arial"/>
          <w:b/>
          <w:bCs/>
          <w:color w:val="333333"/>
          <w:sz w:val="24"/>
          <w:szCs w:val="24"/>
          <w:lang w:eastAsia="en-NZ"/>
        </w:rPr>
        <w:t>Policy</w:t>
      </w:r>
      <w:r w:rsidRPr="00C112E1">
        <w:rPr>
          <w:rFonts w:ascii="inherit" w:eastAsia="Times New Roman" w:hAnsi="inherit" w:cs="Arial"/>
          <w:b/>
          <w:bCs/>
          <w:color w:val="333333"/>
          <w:sz w:val="24"/>
          <w:szCs w:val="24"/>
          <w:lang w:eastAsia="en-NZ"/>
        </w:rPr>
        <w:t xml:space="preserve"> Statement on Roles and Responsibilities for the Safety of Non-commercial Food</w:t>
      </w:r>
    </w:p>
    <w:p w14:paraId="5D95727A" w14:textId="24A19A0C" w:rsidR="00C112E1" w:rsidRPr="00CB3038" w:rsidRDefault="008779FB" w:rsidP="00C112E1">
      <w:pPr>
        <w:shd w:val="clear" w:color="auto" w:fill="FFFFFF"/>
        <w:spacing w:after="0" w:line="330" w:lineRule="atLeast"/>
        <w:textAlignment w:val="baseline"/>
        <w:rPr>
          <w:rFonts w:ascii="inherit" w:eastAsia="Times New Roman" w:hAnsi="inherit" w:cs="Arial"/>
          <w:color w:val="333333"/>
          <w:sz w:val="16"/>
          <w:szCs w:val="24"/>
          <w:lang w:eastAsia="en-NZ"/>
        </w:rPr>
      </w:pPr>
      <w:hyperlink r:id="rId7" w:tgtFrame="_top" w:history="1">
        <w:r w:rsidR="00CB3038">
          <w:rPr>
            <w:rFonts w:ascii="inherit" w:eastAsia="Times New Roman" w:hAnsi="inherit" w:cs="Arial"/>
            <w:color w:val="663399"/>
            <w:sz w:val="24"/>
            <w:szCs w:val="24"/>
            <w:u w:val="single"/>
            <w:bdr w:val="none" w:sz="0" w:space="0" w:color="auto" w:frame="1"/>
            <w:lang w:eastAsia="en-NZ"/>
          </w:rPr>
          <w:t>MPI Information Paper on the Safety of Non-commercial Food - MPI Roles and Responsibilities</w:t>
        </w:r>
      </w:hyperlink>
    </w:p>
    <w:p w14:paraId="657DC2A8" w14:textId="77777777" w:rsidR="00CB3038" w:rsidRPr="00CB3038" w:rsidRDefault="00CB3038" w:rsidP="00C112E1">
      <w:pPr>
        <w:shd w:val="clear" w:color="auto" w:fill="FFFFFF"/>
        <w:spacing w:after="0" w:line="330" w:lineRule="atLeast"/>
        <w:textAlignment w:val="baseline"/>
        <w:rPr>
          <w:rFonts w:ascii="inherit" w:eastAsia="Times New Roman" w:hAnsi="inherit" w:cs="Arial"/>
          <w:color w:val="333333"/>
          <w:sz w:val="16"/>
          <w:szCs w:val="24"/>
          <w:lang w:eastAsia="en-NZ"/>
        </w:rPr>
      </w:pPr>
    </w:p>
    <w:p w14:paraId="49559E97" w14:textId="506FF2CA" w:rsidR="00C112E1" w:rsidRPr="00C112E1" w:rsidRDefault="00CB3038"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r>
        <w:rPr>
          <w:rFonts w:ascii="inherit" w:eastAsia="Times New Roman" w:hAnsi="inherit" w:cs="Arial"/>
          <w:color w:val="333333"/>
          <w:sz w:val="24"/>
          <w:szCs w:val="24"/>
          <w:lang w:eastAsia="en-NZ"/>
        </w:rPr>
        <w:t>MPI</w:t>
      </w:r>
      <w:r w:rsidR="00C112E1" w:rsidRPr="00C112E1">
        <w:rPr>
          <w:rFonts w:ascii="inherit" w:eastAsia="Times New Roman" w:hAnsi="inherit" w:cs="Arial"/>
          <w:color w:val="333333"/>
          <w:sz w:val="24"/>
          <w:szCs w:val="24"/>
          <w:lang w:eastAsia="en-NZ"/>
        </w:rPr>
        <w:t xml:space="preserve"> will continue to work closely with relevant agencies so that government efficiency may be improved in this area. This may include a review of the allocation of certain roles and responsibilities and/or their implementation.</w:t>
      </w:r>
    </w:p>
    <w:p w14:paraId="74B1F2C0" w14:textId="77777777" w:rsidR="00C112E1" w:rsidRPr="00C112E1" w:rsidRDefault="00C112E1" w:rsidP="00CB3038">
      <w:pPr>
        <w:shd w:val="clear" w:color="auto" w:fill="FFFFFF"/>
        <w:spacing w:after="12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By strengthening the performance (including coordination and integration) of monitoring, information sharing, and risk communication, foodborne illness associated with non-commercial food may be reduced. This, in turn, may strengthen the integrity of New Zealand’s reputation for having a safe food supply ch</w:t>
      </w:r>
      <w:bookmarkStart w:id="0" w:name="_GoBack"/>
      <w:bookmarkEnd w:id="0"/>
      <w:r w:rsidRPr="00C112E1">
        <w:rPr>
          <w:rFonts w:ascii="inherit" w:eastAsia="Times New Roman" w:hAnsi="inherit" w:cs="Arial"/>
          <w:color w:val="333333"/>
          <w:sz w:val="24"/>
          <w:szCs w:val="24"/>
          <w:lang w:eastAsia="en-NZ"/>
        </w:rPr>
        <w:t>ain.</w:t>
      </w:r>
    </w:p>
    <w:p w14:paraId="69BA9F2B" w14:textId="5953DBD6" w:rsidR="00C112E1" w:rsidRPr="00C112E1" w:rsidRDefault="008779FB"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8" w:tgtFrame="_top" w:history="1">
        <w:r w:rsidR="00CB3038">
          <w:rPr>
            <w:rFonts w:ascii="inherit" w:eastAsia="Times New Roman" w:hAnsi="inherit" w:cs="Arial"/>
            <w:color w:val="663399"/>
            <w:sz w:val="24"/>
            <w:szCs w:val="24"/>
            <w:u w:val="single"/>
            <w:bdr w:val="none" w:sz="0" w:space="0" w:color="auto" w:frame="1"/>
            <w:lang w:eastAsia="en-NZ"/>
          </w:rPr>
          <w:t>MPI Policy Statement on Wild Food</w:t>
        </w:r>
      </w:hyperlink>
    </w:p>
    <w:p w14:paraId="3AC20FD1" w14:textId="504F7D4D" w:rsidR="00C112E1" w:rsidRDefault="008779FB"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9" w:tgtFrame="_top" w:history="1">
        <w:r w:rsidR="00CB3038">
          <w:rPr>
            <w:rFonts w:ascii="inherit" w:eastAsia="Times New Roman" w:hAnsi="inherit" w:cs="Arial"/>
            <w:color w:val="663399"/>
            <w:sz w:val="24"/>
            <w:szCs w:val="24"/>
            <w:u w:val="single"/>
            <w:bdr w:val="none" w:sz="0" w:space="0" w:color="auto" w:frame="1"/>
            <w:lang w:eastAsia="en-NZ"/>
          </w:rPr>
          <w:t>MPI Position Paper on Non Commercial Wild Food</w:t>
        </w:r>
      </w:hyperlink>
    </w:p>
    <w:p w14:paraId="41E587D6" w14:textId="77777777" w:rsidR="00C112E1" w:rsidRP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p>
    <w:p w14:paraId="1D98FE73" w14:textId="77777777" w:rsidR="00C112E1" w:rsidRPr="00C112E1" w:rsidRDefault="00C112E1" w:rsidP="00CB3038">
      <w:pPr>
        <w:shd w:val="clear" w:color="auto" w:fill="FFFFFF"/>
        <w:spacing w:after="12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b/>
          <w:bCs/>
          <w:color w:val="333333"/>
          <w:sz w:val="24"/>
          <w:szCs w:val="24"/>
          <w:lang w:eastAsia="en-NZ"/>
        </w:rPr>
        <w:t>Further information</w:t>
      </w:r>
    </w:p>
    <w:p w14:paraId="1E069762" w14:textId="62300765" w:rsid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0" w:history="1">
        <w:r w:rsidR="00933C0B">
          <w:rPr>
            <w:rStyle w:val="Hyperlink"/>
            <w:rFonts w:ascii="inherit" w:eastAsia="Times New Roman" w:hAnsi="inherit" w:cs="Arial"/>
            <w:sz w:val="24"/>
            <w:szCs w:val="24"/>
            <w:lang w:eastAsia="en-NZ"/>
          </w:rPr>
          <w:t>Travel and recreation</w:t>
        </w:r>
      </w:hyperlink>
      <w:r>
        <w:rPr>
          <w:rFonts w:ascii="inherit" w:eastAsia="Times New Roman" w:hAnsi="inherit" w:cs="Arial"/>
          <w:color w:val="333333"/>
          <w:sz w:val="24"/>
          <w:szCs w:val="24"/>
          <w:lang w:eastAsia="en-NZ"/>
        </w:rPr>
        <w:t xml:space="preserve"> </w:t>
      </w:r>
    </w:p>
    <w:p w14:paraId="39451A20" w14:textId="1D792BD9" w:rsid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1" w:history="1">
        <w:r>
          <w:rPr>
            <w:rStyle w:val="Hyperlink"/>
            <w:rFonts w:ascii="inherit" w:eastAsia="Times New Roman" w:hAnsi="inherit" w:cs="Arial"/>
            <w:sz w:val="24"/>
            <w:szCs w:val="24"/>
            <w:lang w:eastAsia="en-NZ"/>
          </w:rPr>
          <w:t>Shellfish biotoxin alerts</w:t>
        </w:r>
      </w:hyperlink>
      <w:r>
        <w:rPr>
          <w:rFonts w:ascii="inherit" w:eastAsia="Times New Roman" w:hAnsi="inherit" w:cs="Arial"/>
          <w:color w:val="333333"/>
          <w:sz w:val="24"/>
          <w:szCs w:val="24"/>
          <w:lang w:eastAsia="en-NZ"/>
        </w:rPr>
        <w:t xml:space="preserve"> </w:t>
      </w:r>
      <w:r w:rsidRPr="00C112E1">
        <w:rPr>
          <w:rFonts w:ascii="inherit" w:eastAsia="Times New Roman" w:hAnsi="inherit" w:cs="Arial"/>
          <w:color w:val="333333"/>
          <w:sz w:val="24"/>
          <w:szCs w:val="24"/>
          <w:lang w:eastAsia="en-NZ"/>
        </w:rPr>
        <w:t> </w:t>
      </w:r>
    </w:p>
    <w:p w14:paraId="6C824F8D" w14:textId="1F7A4961" w:rsid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2" w:history="1">
        <w:r>
          <w:rPr>
            <w:rStyle w:val="Hyperlink"/>
            <w:rFonts w:ascii="inherit" w:eastAsia="Times New Roman" w:hAnsi="inherit" w:cs="Arial"/>
            <w:sz w:val="24"/>
            <w:szCs w:val="24"/>
            <w:lang w:eastAsia="en-NZ"/>
          </w:rPr>
          <w:t>Tips for food safety</w:t>
        </w:r>
      </w:hyperlink>
      <w:r>
        <w:rPr>
          <w:rFonts w:ascii="inherit" w:eastAsia="Times New Roman" w:hAnsi="inherit" w:cs="Arial"/>
          <w:color w:val="333333"/>
          <w:sz w:val="24"/>
          <w:szCs w:val="24"/>
          <w:lang w:eastAsia="en-NZ"/>
        </w:rPr>
        <w:t xml:space="preserve"> </w:t>
      </w:r>
    </w:p>
    <w:p w14:paraId="31F75E99" w14:textId="3180E99D" w:rsid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3" w:history="1">
        <w:r>
          <w:rPr>
            <w:rStyle w:val="Hyperlink"/>
            <w:rFonts w:ascii="inherit" w:eastAsia="Times New Roman" w:hAnsi="inherit" w:cs="Arial"/>
            <w:sz w:val="24"/>
            <w:szCs w:val="24"/>
            <w:lang w:eastAsia="en-NZ"/>
          </w:rPr>
          <w:t>Marae food safety</w:t>
        </w:r>
      </w:hyperlink>
    </w:p>
    <w:p w14:paraId="3FE40C58" w14:textId="008A4D85" w:rsid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4" w:history="1">
        <w:r>
          <w:rPr>
            <w:rStyle w:val="Hyperlink"/>
            <w:rFonts w:ascii="inherit" w:eastAsia="Times New Roman" w:hAnsi="inherit" w:cs="Arial"/>
            <w:sz w:val="24"/>
            <w:szCs w:val="24"/>
            <w:lang w:eastAsia="en-NZ"/>
          </w:rPr>
          <w:t>Animal welfare legal overview</w:t>
        </w:r>
      </w:hyperlink>
    </w:p>
    <w:p w14:paraId="4B340FA1" w14:textId="5AC28652" w:rsidR="00C112E1" w:rsidRDefault="00C112E1"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5" w:history="1">
        <w:r>
          <w:rPr>
            <w:rStyle w:val="Hyperlink"/>
            <w:rFonts w:ascii="inherit" w:eastAsia="Times New Roman" w:hAnsi="inherit" w:cs="Arial"/>
            <w:sz w:val="24"/>
            <w:szCs w:val="24"/>
            <w:lang w:eastAsia="en-NZ"/>
          </w:rPr>
          <w:t>Animal welfare standards and best practice</w:t>
        </w:r>
      </w:hyperlink>
      <w:r>
        <w:rPr>
          <w:rFonts w:ascii="inherit" w:eastAsia="Times New Roman" w:hAnsi="inherit" w:cs="Arial"/>
          <w:color w:val="333333"/>
          <w:sz w:val="24"/>
          <w:szCs w:val="24"/>
          <w:lang w:eastAsia="en-NZ"/>
        </w:rPr>
        <w:t xml:space="preserve">  </w:t>
      </w:r>
    </w:p>
    <w:p w14:paraId="2315247B" w14:textId="13FCB4AF" w:rsidR="00C112E1" w:rsidRDefault="00933C0B"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6" w:history="1">
        <w:r>
          <w:rPr>
            <w:rStyle w:val="Hyperlink"/>
            <w:rFonts w:ascii="inherit" w:eastAsia="Times New Roman" w:hAnsi="inherit" w:cs="Arial"/>
            <w:sz w:val="24"/>
            <w:szCs w:val="24"/>
            <w:lang w:eastAsia="en-NZ"/>
          </w:rPr>
          <w:t>Recreational fishing rules</w:t>
        </w:r>
      </w:hyperlink>
      <w:r>
        <w:rPr>
          <w:rFonts w:ascii="inherit" w:eastAsia="Times New Roman" w:hAnsi="inherit" w:cs="Arial"/>
          <w:color w:val="333333"/>
          <w:sz w:val="24"/>
          <w:szCs w:val="24"/>
          <w:lang w:eastAsia="en-NZ"/>
        </w:rPr>
        <w:t xml:space="preserve"> </w:t>
      </w:r>
    </w:p>
    <w:p w14:paraId="186A8B42" w14:textId="681BDAE6" w:rsidR="00C112E1" w:rsidRDefault="008779FB"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7" w:tgtFrame="_top" w:history="1">
        <w:r w:rsidR="00C112E1" w:rsidRPr="00C112E1">
          <w:rPr>
            <w:rFonts w:ascii="inherit" w:eastAsia="Times New Roman" w:hAnsi="inherit" w:cs="Arial"/>
            <w:color w:val="663399"/>
            <w:sz w:val="24"/>
            <w:szCs w:val="24"/>
            <w:u w:val="single"/>
            <w:bdr w:val="none" w:sz="0" w:space="0" w:color="auto" w:frame="1"/>
            <w:lang w:eastAsia="en-NZ"/>
          </w:rPr>
          <w:t>Recreational hunting – what to hunt, what not to hunt, and where to get permits</w:t>
        </w:r>
      </w:hyperlink>
      <w:r w:rsidR="00C112E1" w:rsidRPr="00C112E1">
        <w:rPr>
          <w:rFonts w:ascii="inherit" w:eastAsia="Times New Roman" w:hAnsi="inherit" w:cs="Arial"/>
          <w:color w:val="333333"/>
          <w:sz w:val="24"/>
          <w:szCs w:val="24"/>
          <w:lang w:eastAsia="en-NZ"/>
        </w:rPr>
        <w:t> [Department of Conservation (DoC)]</w:t>
      </w:r>
    </w:p>
    <w:p w14:paraId="577EA0BE" w14:textId="60795043" w:rsidR="00C112E1" w:rsidRDefault="008779FB"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8" w:tgtFrame="_top" w:history="1">
        <w:r w:rsidR="00C112E1" w:rsidRPr="00C112E1">
          <w:rPr>
            <w:rFonts w:ascii="inherit" w:eastAsia="Times New Roman" w:hAnsi="inherit" w:cs="Arial"/>
            <w:color w:val="663399"/>
            <w:sz w:val="24"/>
            <w:szCs w:val="24"/>
            <w:u w:val="single"/>
            <w:bdr w:val="none" w:sz="0" w:space="0" w:color="auto" w:frame="1"/>
            <w:lang w:eastAsia="en-NZ"/>
          </w:rPr>
          <w:t>Check where pesticides have been used in New Zealand</w:t>
        </w:r>
      </w:hyperlink>
      <w:r w:rsidR="00C112E1" w:rsidRPr="00C112E1">
        <w:rPr>
          <w:rFonts w:ascii="inherit" w:eastAsia="Times New Roman" w:hAnsi="inherit" w:cs="Arial"/>
          <w:color w:val="333333"/>
          <w:sz w:val="24"/>
          <w:szCs w:val="24"/>
          <w:lang w:eastAsia="en-NZ"/>
        </w:rPr>
        <w:t> [DoC]; and</w:t>
      </w:r>
    </w:p>
    <w:p w14:paraId="2FE96B85" w14:textId="77777777" w:rsidR="00C112E1" w:rsidRPr="00C112E1" w:rsidRDefault="008779FB" w:rsidP="00C112E1">
      <w:pPr>
        <w:shd w:val="clear" w:color="auto" w:fill="FFFFFF"/>
        <w:spacing w:after="0" w:line="330" w:lineRule="atLeast"/>
        <w:textAlignment w:val="baseline"/>
        <w:rPr>
          <w:rFonts w:ascii="inherit" w:eastAsia="Times New Roman" w:hAnsi="inherit" w:cs="Arial"/>
          <w:color w:val="333333"/>
          <w:sz w:val="24"/>
          <w:szCs w:val="24"/>
          <w:lang w:eastAsia="en-NZ"/>
        </w:rPr>
      </w:pPr>
      <w:hyperlink r:id="rId19" w:tgtFrame="_top" w:history="1">
        <w:r w:rsidR="00C112E1" w:rsidRPr="00C112E1">
          <w:rPr>
            <w:rFonts w:ascii="inherit" w:eastAsia="Times New Roman" w:hAnsi="inherit" w:cs="Arial"/>
            <w:color w:val="663399"/>
            <w:sz w:val="24"/>
            <w:szCs w:val="24"/>
            <w:u w:val="single"/>
            <w:bdr w:val="none" w:sz="0" w:space="0" w:color="auto" w:frame="1"/>
            <w:lang w:eastAsia="en-NZ"/>
          </w:rPr>
          <w:t>Conservation threats and impacts</w:t>
        </w:r>
      </w:hyperlink>
      <w:r w:rsidR="00C112E1" w:rsidRPr="00C112E1">
        <w:rPr>
          <w:rFonts w:ascii="inherit" w:eastAsia="Times New Roman" w:hAnsi="inherit" w:cs="Arial"/>
          <w:color w:val="333333"/>
          <w:sz w:val="24"/>
          <w:szCs w:val="24"/>
          <w:lang w:eastAsia="en-NZ"/>
        </w:rPr>
        <w:t> [DoC].</w:t>
      </w:r>
    </w:p>
    <w:p w14:paraId="28CEA6A2" w14:textId="77777777" w:rsidR="00C112E1" w:rsidRDefault="00C112E1" w:rsidP="00C112E1">
      <w:pPr>
        <w:shd w:val="clear" w:color="auto" w:fill="FFFFFF"/>
        <w:spacing w:after="300" w:line="330" w:lineRule="atLeast"/>
        <w:textAlignment w:val="baseline"/>
        <w:rPr>
          <w:rFonts w:ascii="inherit" w:eastAsia="Times New Roman" w:hAnsi="inherit" w:cs="Arial"/>
          <w:color w:val="333333"/>
          <w:sz w:val="24"/>
          <w:szCs w:val="24"/>
          <w:lang w:eastAsia="en-NZ"/>
        </w:rPr>
      </w:pPr>
    </w:p>
    <w:p w14:paraId="6C696E0B" w14:textId="2CDEB2B6" w:rsidR="00834F53" w:rsidRPr="00CB3038" w:rsidRDefault="00C112E1" w:rsidP="00CB3038">
      <w:pPr>
        <w:shd w:val="clear" w:color="auto" w:fill="FFFFFF"/>
        <w:spacing w:after="300" w:line="330" w:lineRule="atLeast"/>
        <w:textAlignment w:val="baseline"/>
        <w:rPr>
          <w:rFonts w:ascii="inherit" w:eastAsia="Times New Roman" w:hAnsi="inherit" w:cs="Arial"/>
          <w:color w:val="333333"/>
          <w:sz w:val="24"/>
          <w:szCs w:val="24"/>
          <w:lang w:eastAsia="en-NZ"/>
        </w:rPr>
      </w:pPr>
      <w:r w:rsidRPr="00C112E1">
        <w:rPr>
          <w:rFonts w:ascii="inherit" w:eastAsia="Times New Roman" w:hAnsi="inherit" w:cs="Arial"/>
          <w:color w:val="333333"/>
          <w:sz w:val="24"/>
          <w:szCs w:val="24"/>
          <w:lang w:eastAsia="en-NZ"/>
        </w:rPr>
        <w:t>This page was last updated on 6 September 2010.</w:t>
      </w:r>
    </w:p>
    <w:sectPr w:rsidR="00834F53" w:rsidRPr="00CB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E1"/>
    <w:rsid w:val="002943B3"/>
    <w:rsid w:val="007A1F3A"/>
    <w:rsid w:val="007D3357"/>
    <w:rsid w:val="00834F53"/>
    <w:rsid w:val="008779FB"/>
    <w:rsid w:val="00933C0B"/>
    <w:rsid w:val="00C112E1"/>
    <w:rsid w:val="00CB30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8188"/>
  <w15:chartTrackingRefBased/>
  <w15:docId w15:val="{26D4580E-33F0-4907-A744-3AF9D2A5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1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E1"/>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C112E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ist1">
    <w:name w:val="List1"/>
    <w:basedOn w:val="Normal"/>
    <w:rsid w:val="00C112E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identifier">
    <w:name w:val="listidentifier"/>
    <w:basedOn w:val="DefaultParagraphFont"/>
    <w:rsid w:val="00C112E1"/>
  </w:style>
  <w:style w:type="character" w:styleId="Hyperlink">
    <w:name w:val="Hyperlink"/>
    <w:basedOn w:val="DefaultParagraphFont"/>
    <w:uiPriority w:val="99"/>
    <w:unhideWhenUsed/>
    <w:rsid w:val="00C112E1"/>
    <w:rPr>
      <w:color w:val="0000FF"/>
      <w:u w:val="single"/>
    </w:rPr>
  </w:style>
  <w:style w:type="character" w:styleId="CommentReference">
    <w:name w:val="annotation reference"/>
    <w:basedOn w:val="DefaultParagraphFont"/>
    <w:uiPriority w:val="99"/>
    <w:semiHidden/>
    <w:unhideWhenUsed/>
    <w:rsid w:val="00C112E1"/>
    <w:rPr>
      <w:sz w:val="16"/>
      <w:szCs w:val="16"/>
    </w:rPr>
  </w:style>
  <w:style w:type="paragraph" w:styleId="CommentText">
    <w:name w:val="annotation text"/>
    <w:basedOn w:val="Normal"/>
    <w:link w:val="CommentTextChar"/>
    <w:uiPriority w:val="99"/>
    <w:semiHidden/>
    <w:unhideWhenUsed/>
    <w:rsid w:val="00C112E1"/>
    <w:pPr>
      <w:spacing w:line="240" w:lineRule="auto"/>
    </w:pPr>
    <w:rPr>
      <w:sz w:val="20"/>
      <w:szCs w:val="20"/>
    </w:rPr>
  </w:style>
  <w:style w:type="character" w:customStyle="1" w:styleId="CommentTextChar">
    <w:name w:val="Comment Text Char"/>
    <w:basedOn w:val="DefaultParagraphFont"/>
    <w:link w:val="CommentText"/>
    <w:uiPriority w:val="99"/>
    <w:semiHidden/>
    <w:rsid w:val="00C112E1"/>
    <w:rPr>
      <w:sz w:val="20"/>
      <w:szCs w:val="20"/>
    </w:rPr>
  </w:style>
  <w:style w:type="paragraph" w:styleId="CommentSubject">
    <w:name w:val="annotation subject"/>
    <w:basedOn w:val="CommentText"/>
    <w:next w:val="CommentText"/>
    <w:link w:val="CommentSubjectChar"/>
    <w:uiPriority w:val="99"/>
    <w:semiHidden/>
    <w:unhideWhenUsed/>
    <w:rsid w:val="00C112E1"/>
    <w:rPr>
      <w:b/>
      <w:bCs/>
    </w:rPr>
  </w:style>
  <w:style w:type="character" w:customStyle="1" w:styleId="CommentSubjectChar">
    <w:name w:val="Comment Subject Char"/>
    <w:basedOn w:val="CommentTextChar"/>
    <w:link w:val="CommentSubject"/>
    <w:uiPriority w:val="99"/>
    <w:semiHidden/>
    <w:rsid w:val="00C112E1"/>
    <w:rPr>
      <w:b/>
      <w:bCs/>
      <w:sz w:val="20"/>
      <w:szCs w:val="20"/>
    </w:rPr>
  </w:style>
  <w:style w:type="paragraph" w:styleId="BalloonText">
    <w:name w:val="Balloon Text"/>
    <w:basedOn w:val="Normal"/>
    <w:link w:val="BalloonTextChar"/>
    <w:uiPriority w:val="99"/>
    <w:semiHidden/>
    <w:unhideWhenUsed/>
    <w:rsid w:val="00C1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1988">
      <w:bodyDiv w:val="1"/>
      <w:marLeft w:val="0"/>
      <w:marRight w:val="0"/>
      <w:marTop w:val="0"/>
      <w:marBottom w:val="0"/>
      <w:divBdr>
        <w:top w:val="none" w:sz="0" w:space="0" w:color="auto"/>
        <w:left w:val="none" w:sz="0" w:space="0" w:color="auto"/>
        <w:bottom w:val="none" w:sz="0" w:space="0" w:color="auto"/>
        <w:right w:val="none" w:sz="0" w:space="0" w:color="auto"/>
      </w:divBdr>
      <w:divsChild>
        <w:div w:id="164326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i.govt.nz/dmsdocument/23053" TargetMode="External"/><Relationship Id="rId13" Type="http://schemas.openxmlformats.org/officeDocument/2006/relationships/hyperlink" Target="https://www.mpi.govt.nz/food-safety/community-food/marae-food-safety/" TargetMode="External"/><Relationship Id="rId18" Type="http://schemas.openxmlformats.org/officeDocument/2006/relationships/hyperlink" Target="http://www.doc.govt.nz/pesticide-summar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mpi.govt.nz/dmsdocument/23032" TargetMode="External"/><Relationship Id="rId12" Type="http://schemas.openxmlformats.org/officeDocument/2006/relationships/hyperlink" Target="https://www.mpi.govt.nz/food-safety/food-safety-for-consumers/tips-for-food-safety/" TargetMode="External"/><Relationship Id="rId17" Type="http://schemas.openxmlformats.org/officeDocument/2006/relationships/hyperlink" Target="http://www.doc.govt.nz/parks-and-recreation/hunting/" TargetMode="External"/><Relationship Id="rId2" Type="http://schemas.openxmlformats.org/officeDocument/2006/relationships/customXml" Target="../customXml/item2.xml"/><Relationship Id="rId16" Type="http://schemas.openxmlformats.org/officeDocument/2006/relationships/hyperlink" Target="https://www.mpi.govt.nz/travel-and-recreation/fishing/fishing-r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i.govt.nz/travel-and-recreation/fishing/shellfish-biotoxin-alerts/" TargetMode="External"/><Relationship Id="rId5" Type="http://schemas.openxmlformats.org/officeDocument/2006/relationships/settings" Target="settings.xml"/><Relationship Id="rId15" Type="http://schemas.openxmlformats.org/officeDocument/2006/relationships/hyperlink" Target="https://www.mpi.govt.nz/protection-and-response/animal-welfare/" TargetMode="External"/><Relationship Id="rId10" Type="http://schemas.openxmlformats.org/officeDocument/2006/relationships/hyperlink" Target="http://mpi.govt.nz/travel-and-recreation/" TargetMode="External"/><Relationship Id="rId19" Type="http://schemas.openxmlformats.org/officeDocument/2006/relationships/hyperlink" Target="http://www.doc.govt.nz/conservation/threats-and-impacts/" TargetMode="External"/><Relationship Id="rId4" Type="http://schemas.openxmlformats.org/officeDocument/2006/relationships/styles" Target="styles.xml"/><Relationship Id="rId9" Type="http://schemas.openxmlformats.org/officeDocument/2006/relationships/hyperlink" Target="http://www.mpi.govt.nz/dmsdocument/23017" TargetMode="External"/><Relationship Id="rId14" Type="http://schemas.openxmlformats.org/officeDocument/2006/relationships/hyperlink" Target="https://www.mpi.govt.nz/law-and-policy/legal-overviews/animal-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EADBB6C7959C574787B1D83D71E49E1E" ma:contentTypeVersion="7" ma:contentTypeDescription="Create a new Word Document" ma:contentTypeScope="" ma:versionID="b86986683e4558ea6f950379611c8d42">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ef5f8b4b0b4991ef8eca327b0e369a31"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3041f01f-0994-412b-9d49-720b2e02a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Value>
    </TaxCatchAll>
    <PingarLastProcessed xmlns="8768af36-db3c-4a01-ae1c-c7a2a3c7b9cb" xsi:nil="true"/>
    <TaxKeywordTaxHTField xmlns="8768af36-db3c-4a01-ae1c-c7a2a3c7b9cb">
      <Terms xmlns="http://schemas.microsoft.com/office/infopath/2007/PartnerControl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Props1.xml><?xml version="1.0" encoding="utf-8"?>
<ds:datastoreItem xmlns:ds="http://schemas.openxmlformats.org/officeDocument/2006/customXml" ds:itemID="{CC7F263D-59BA-45BD-AC18-0CE4A340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53BC4-CF11-4D89-985B-6229799E319D}">
  <ds:schemaRefs>
    <ds:schemaRef ds:uri="http://schemas.microsoft.com/sharepoint/v3/contenttype/forms"/>
  </ds:schemaRefs>
</ds:datastoreItem>
</file>

<file path=customXml/itemProps3.xml><?xml version="1.0" encoding="utf-8"?>
<ds:datastoreItem xmlns:ds="http://schemas.openxmlformats.org/officeDocument/2006/customXml" ds:itemID="{5EDA41D4-25FE-42EC-8FFF-97FF0AD76D1E}">
  <ds:schemaRefs>
    <ds:schemaRef ds:uri="http://purl.org/dc/terms/"/>
    <ds:schemaRef ds:uri="8768af36-db3c-4a01-ae1c-c7a2a3c7b9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1be4277-2979-4a68-876d-b92b25fce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Der Kwast</dc:creator>
  <cp:keywords/>
  <dc:description/>
  <cp:lastModifiedBy>Michael Van Der Kwast</cp:lastModifiedBy>
  <cp:revision>6</cp:revision>
  <dcterms:created xsi:type="dcterms:W3CDTF">2017-10-18T22:30:00Z</dcterms:created>
  <dcterms:modified xsi:type="dcterms:W3CDTF">2017-11-05T22:00:00Z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0x0101005496552013C0BA46BE88192D5C6EB20B00BC7B51C3C3DA487E91D1E0ED95F8C85C00EADBB6C7959C574787B1D83D71E49E1E</vt:lpwstr>
  </property>
  <property fmtid="{D5CDD505-2E9C-101B-9397-08002B2CF9AE}" pid="3" name="RecordPoint_WorkflowType">
    <vt:lpwstr>ActiveSubmitStub</vt:lpwstr>
  </property>
  <property fmtid="{D5CDD505-2E9C-101B-9397-08002B2CF9AE}" pid="4" name="RecordPoint_ActiveItemSiteId">
    <vt:lpwstr>{c1fca386-5a34-4e07-b5de-9e8b4c43cb39}</vt:lpwstr>
  </property>
  <property fmtid="{D5CDD505-2E9C-101B-9397-08002B2CF9AE}" pid="5" name="RecordPoint_ActiveItemListId">
    <vt:lpwstr>{68d7238b-5533-4d55-a3c4-d501e70e0656}</vt:lpwstr>
  </property>
  <property fmtid="{D5CDD505-2E9C-101B-9397-08002B2CF9AE}" pid="6" name="RecordPoint_ActiveItemUniqueId">
    <vt:lpwstr>{ff4a7831-3507-493b-b936-922c5ced7517}</vt:lpwstr>
  </property>
  <property fmtid="{D5CDD505-2E9C-101B-9397-08002B2CF9AE}" pid="7" name="RecordPoint_ActiveItemWebId">
    <vt:lpwstr>{e0ca3ff0-bbe3-4b1c-8253-d5e1a5e73ce1}</vt:lpwstr>
  </property>
  <property fmtid="{D5CDD505-2E9C-101B-9397-08002B2CF9AE}" pid="8" name="RecordPoint_RecordNumberSubmitted">
    <vt:lpwstr>R0001551949</vt:lpwstr>
  </property>
  <property fmtid="{D5CDD505-2E9C-101B-9397-08002B2CF9AE}" pid="9" name="RecordPoint_SubmissionCompleted">
    <vt:lpwstr>2017-11-06T18:44:29.8750964+13:00</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PingarMPI_Terms">
    <vt:lpwstr/>
  </property>
  <property fmtid="{D5CDD505-2E9C-101B-9397-08002B2CF9AE}" pid="13" name="C3Topic">
    <vt:lpwstr/>
  </property>
</Properties>
</file>