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C8618" w14:textId="77777777" w:rsidR="00463D7A" w:rsidRPr="00F83C5D" w:rsidRDefault="00463D7A" w:rsidP="00463D7A">
      <w:pPr>
        <w:pStyle w:val="Title"/>
        <w:spacing w:before="480"/>
        <w:contextualSpacing w:val="0"/>
        <w:rPr>
          <w:rFonts w:ascii="Arial Narrow" w:eastAsia="Arial Narrow" w:hAnsi="Arial Narrow" w:cs="Arial Narrow"/>
          <w:b/>
          <w:bCs/>
        </w:rPr>
      </w:pPr>
      <w:r w:rsidRPr="1D797E29">
        <w:rPr>
          <w:rFonts w:ascii="Arial Narrow" w:eastAsia="Arial Narrow" w:hAnsi="Arial Narrow" w:cs="Arial Narrow"/>
          <w:b/>
          <w:bCs/>
        </w:rPr>
        <w:t>Quarterly report of swamp kauri activity</w:t>
      </w:r>
    </w:p>
    <w:p w14:paraId="22A10476" w14:textId="77777777" w:rsidR="00463D7A" w:rsidRDefault="00463D7A" w:rsidP="00463D7A">
      <w:pPr>
        <w:spacing w:after="120" w:line="240" w:lineRule="auto"/>
        <w:rPr>
          <w:rFonts w:eastAsia="Arial" w:cs="Arial"/>
        </w:rPr>
      </w:pPr>
      <w:r w:rsidRPr="1D797E29">
        <w:rPr>
          <w:b/>
          <w:bCs/>
          <w:sz w:val="24"/>
          <w:szCs w:val="24"/>
        </w:rPr>
        <w:t xml:space="preserve">1 </w:t>
      </w:r>
      <w:r>
        <w:rPr>
          <w:b/>
          <w:bCs/>
          <w:sz w:val="24"/>
          <w:szCs w:val="24"/>
        </w:rPr>
        <w:t>July</w:t>
      </w:r>
      <w:r w:rsidRPr="1D797E29">
        <w:rPr>
          <w:b/>
          <w:bCs/>
          <w:sz w:val="24"/>
          <w:szCs w:val="24"/>
        </w:rPr>
        <w:t xml:space="preserve"> 2017 – 30 </w:t>
      </w:r>
      <w:r>
        <w:rPr>
          <w:b/>
          <w:bCs/>
          <w:sz w:val="24"/>
          <w:szCs w:val="24"/>
        </w:rPr>
        <w:t>September</w:t>
      </w:r>
      <w:r w:rsidRPr="1D797E29">
        <w:rPr>
          <w:b/>
          <w:bCs/>
          <w:sz w:val="24"/>
          <w:szCs w:val="24"/>
        </w:rPr>
        <w:t xml:space="preserve"> 2017 </w:t>
      </w:r>
      <w:r w:rsidRPr="1D797E29">
        <w:rPr>
          <w:rFonts w:eastAsia="Arial" w:cs="Arial"/>
        </w:rPr>
        <w:t>_________________________________________________________________________</w:t>
      </w:r>
    </w:p>
    <w:p w14:paraId="1634F01F" w14:textId="77777777" w:rsidR="00463D7A" w:rsidRPr="007574EA" w:rsidRDefault="00463D7A" w:rsidP="00463D7A">
      <w:pPr>
        <w:spacing w:after="0" w:line="360" w:lineRule="auto"/>
        <w:rPr>
          <w:rFonts w:cs="Arial"/>
          <w:sz w:val="16"/>
          <w:szCs w:val="16"/>
        </w:rPr>
      </w:pPr>
    </w:p>
    <w:p w14:paraId="07EC9328" w14:textId="77777777" w:rsidR="00463D7A" w:rsidRDefault="00463D7A" w:rsidP="00463D7A">
      <w:pPr>
        <w:spacing w:after="0" w:line="360" w:lineRule="auto"/>
        <w:jc w:val="both"/>
      </w:pPr>
      <w:r>
        <w:t xml:space="preserve">Swamp kauri, also known as ancient kauri, is kauri timber that has been buried and preserved in what used to be swamps for anywhere between 800 and 60,000 years. </w:t>
      </w:r>
    </w:p>
    <w:p w14:paraId="19D61A5C" w14:textId="77777777" w:rsidR="00463D7A" w:rsidRDefault="00463D7A" w:rsidP="00463D7A">
      <w:pPr>
        <w:spacing w:after="0" w:line="360" w:lineRule="auto"/>
        <w:jc w:val="both"/>
      </w:pPr>
    </w:p>
    <w:p w14:paraId="45BDF112" w14:textId="77777777" w:rsidR="00463D7A" w:rsidRDefault="00463D7A" w:rsidP="00463D7A">
      <w:pPr>
        <w:spacing w:after="0" w:line="360" w:lineRule="auto"/>
        <w:jc w:val="both"/>
      </w:pPr>
      <w:r>
        <w:t>The Ministry for Primary Industries (MPI) is responsible for regulating the milling and export of swamp kauri under the Forests Act 1949 (“the Act”). More information on the management of swamp kauri can be found at:</w:t>
      </w:r>
    </w:p>
    <w:p w14:paraId="22D61B7A" w14:textId="77777777" w:rsidR="00463D7A" w:rsidRDefault="006300BB" w:rsidP="00463D7A">
      <w:pPr>
        <w:spacing w:after="0" w:line="360" w:lineRule="auto"/>
        <w:ind w:firstLine="284"/>
        <w:jc w:val="both"/>
      </w:pPr>
      <w:hyperlink r:id="rId9" w:history="1">
        <w:r w:rsidR="00463D7A" w:rsidRPr="007E0939">
          <w:rPr>
            <w:rStyle w:val="Hyperlink"/>
          </w:rPr>
          <w:t>http://www.mpi.govt.nz/exporting/forest-products/wood-and-wood-products/swamp-kauri</w:t>
        </w:r>
      </w:hyperlink>
    </w:p>
    <w:p w14:paraId="0AE8EC4B" w14:textId="77777777" w:rsidR="00463D7A" w:rsidRDefault="00463D7A" w:rsidP="00463D7A">
      <w:pPr>
        <w:spacing w:after="0" w:line="360" w:lineRule="auto"/>
        <w:jc w:val="center"/>
      </w:pPr>
    </w:p>
    <w:p w14:paraId="24BDABF9" w14:textId="330DCA24" w:rsidR="00463D7A" w:rsidRDefault="00463D7A" w:rsidP="00463D7A">
      <w:pPr>
        <w:spacing w:after="0" w:line="360" w:lineRule="auto"/>
        <w:jc w:val="both"/>
      </w:pPr>
      <w:r>
        <w:t xml:space="preserve">This report summarises MPI’s </w:t>
      </w:r>
      <w:r w:rsidR="00612C0D">
        <w:t xml:space="preserve">regulatory activities in regard to the </w:t>
      </w:r>
      <w:r>
        <w:t xml:space="preserve">milling and export </w:t>
      </w:r>
      <w:r w:rsidR="00612C0D">
        <w:t>of swamp kauri, in the t</w:t>
      </w:r>
      <w:r>
        <w:t>hird quarter of 2017 (</w:t>
      </w:r>
      <w:r w:rsidRPr="00463D7A">
        <w:t>1 July 2017 – 30 September 2017</w:t>
      </w:r>
      <w:r>
        <w:t xml:space="preserve">). </w:t>
      </w:r>
    </w:p>
    <w:p w14:paraId="1B7B482D" w14:textId="77777777" w:rsidR="00463D7A" w:rsidRDefault="00463D7A" w:rsidP="00463D7A">
      <w:pPr>
        <w:spacing w:after="0" w:line="360" w:lineRule="auto"/>
        <w:jc w:val="both"/>
      </w:pPr>
    </w:p>
    <w:p w14:paraId="638C9C38" w14:textId="5E9FE47D" w:rsidR="00463D7A" w:rsidRDefault="00FB24F7" w:rsidP="00463D7A">
      <w:pPr>
        <w:spacing w:after="0" w:line="360" w:lineRule="auto"/>
        <w:jc w:val="center"/>
      </w:pPr>
      <w:r w:rsidRPr="00FB24F7">
        <w:rPr>
          <w:noProof/>
          <w:lang w:eastAsia="en-NZ"/>
        </w:rPr>
        <w:drawing>
          <wp:inline distT="0" distB="0" distL="0" distR="0" wp14:anchorId="370D68A7" wp14:editId="5ED2A0A3">
            <wp:extent cx="5838429" cy="3867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7147" r="7933"/>
                    <a:stretch/>
                  </pic:blipFill>
                  <pic:spPr bwMode="auto">
                    <a:xfrm>
                      <a:off x="0" y="0"/>
                      <a:ext cx="5848837" cy="3874044"/>
                    </a:xfrm>
                    <a:prstGeom prst="rect">
                      <a:avLst/>
                    </a:prstGeom>
                    <a:ln>
                      <a:noFill/>
                    </a:ln>
                    <a:extLst>
                      <a:ext uri="{53640926-AAD7-44D8-BBD7-CCE9431645EC}">
                        <a14:shadowObscured xmlns:a14="http://schemas.microsoft.com/office/drawing/2010/main"/>
                      </a:ext>
                    </a:extLst>
                  </pic:spPr>
                </pic:pic>
              </a:graphicData>
            </a:graphic>
          </wp:inline>
        </w:drawing>
      </w:r>
    </w:p>
    <w:p w14:paraId="24520130" w14:textId="77777777" w:rsidR="00463D7A" w:rsidRDefault="00463D7A" w:rsidP="00463D7A">
      <w:pPr>
        <w:spacing w:after="0" w:line="360" w:lineRule="auto"/>
        <w:jc w:val="center"/>
      </w:pPr>
    </w:p>
    <w:p w14:paraId="7904570A" w14:textId="77777777" w:rsidR="00463D7A" w:rsidRDefault="00463D7A" w:rsidP="00463D7A">
      <w:pPr>
        <w:spacing w:after="0" w:line="360" w:lineRule="auto"/>
        <w:jc w:val="center"/>
      </w:pPr>
    </w:p>
    <w:p w14:paraId="368C1B36" w14:textId="77777777" w:rsidR="00463D7A" w:rsidRPr="00CE3879" w:rsidRDefault="00463D7A" w:rsidP="00463D7A">
      <w:pPr>
        <w:pStyle w:val="Heading1"/>
        <w:jc w:val="both"/>
        <w:rPr>
          <w:b w:val="0"/>
          <w:sz w:val="28"/>
          <w:szCs w:val="28"/>
          <w:u w:val="single"/>
        </w:rPr>
      </w:pPr>
      <w:r w:rsidRPr="1D797E29">
        <w:rPr>
          <w:b w:val="0"/>
          <w:sz w:val="28"/>
          <w:szCs w:val="28"/>
          <w:u w:val="single"/>
        </w:rPr>
        <w:lastRenderedPageBreak/>
        <w:t>Milling controls</w:t>
      </w:r>
    </w:p>
    <w:p w14:paraId="37FCB4C5" w14:textId="77777777" w:rsidR="00463D7A" w:rsidRDefault="00463D7A" w:rsidP="00463D7A">
      <w:pPr>
        <w:spacing w:after="0" w:line="360" w:lineRule="auto"/>
        <w:jc w:val="both"/>
      </w:pPr>
    </w:p>
    <w:p w14:paraId="74AFAE59" w14:textId="77777777" w:rsidR="00463D7A" w:rsidRDefault="00463D7A" w:rsidP="00463D7A">
      <w:pPr>
        <w:spacing w:after="0" w:line="360" w:lineRule="auto"/>
        <w:jc w:val="both"/>
      </w:pPr>
      <w:r>
        <w:t xml:space="preserve">All indigenous timber - including swamp kauri - can only be milled by sawmills registered with MPI. MPI regularly inspects registered sawmills which are required to report their milling activity every quarter. All swamp kauri must also have an approved </w:t>
      </w:r>
      <w:r w:rsidRPr="1D797E29">
        <w:rPr>
          <w:i/>
          <w:iCs/>
        </w:rPr>
        <w:t>milling statement</w:t>
      </w:r>
      <w:r>
        <w:t xml:space="preserve"> from MPI before it can be milled at a registered sawmill. </w:t>
      </w:r>
    </w:p>
    <w:p w14:paraId="12C082CC" w14:textId="77777777" w:rsidR="00463D7A" w:rsidRDefault="00463D7A" w:rsidP="00463D7A">
      <w:pPr>
        <w:spacing w:after="0" w:line="360" w:lineRule="auto"/>
        <w:jc w:val="both"/>
      </w:pPr>
    </w:p>
    <w:p w14:paraId="7E668653" w14:textId="77777777" w:rsidR="00463D7A" w:rsidRPr="003870D1" w:rsidRDefault="00463D7A" w:rsidP="00463D7A">
      <w:pPr>
        <w:spacing w:after="0" w:line="360" w:lineRule="auto"/>
        <w:jc w:val="both"/>
        <w:rPr>
          <w:rFonts w:eastAsia="Arial" w:cs="Arial"/>
        </w:rPr>
      </w:pPr>
      <w:r>
        <w:t xml:space="preserve"> </w:t>
      </w:r>
      <w:r w:rsidRPr="1D797E29">
        <w:rPr>
          <w:rFonts w:eastAsia="Arial" w:cs="Arial"/>
          <w:b/>
          <w:bCs/>
        </w:rPr>
        <w:t xml:space="preserve">Table 1: </w:t>
      </w:r>
      <w:r w:rsidRPr="1D797E29">
        <w:rPr>
          <w:rFonts w:eastAsia="Arial" w:cs="Arial"/>
        </w:rPr>
        <w:t xml:space="preserve">Milling statements issued 1 </w:t>
      </w:r>
      <w:r>
        <w:rPr>
          <w:rFonts w:eastAsia="Arial" w:cs="Arial"/>
        </w:rPr>
        <w:t>July</w:t>
      </w:r>
      <w:r w:rsidRPr="1D797E29">
        <w:rPr>
          <w:rFonts w:eastAsia="Arial" w:cs="Arial"/>
        </w:rPr>
        <w:t xml:space="preserve"> </w:t>
      </w:r>
      <w:r>
        <w:t xml:space="preserve">– 30 September 2017 </w:t>
      </w:r>
    </w:p>
    <w:tbl>
      <w:tblPr>
        <w:tblStyle w:val="TableGrid"/>
        <w:tblW w:w="8784" w:type="dxa"/>
        <w:jc w:val="center"/>
        <w:tblLayout w:type="fixed"/>
        <w:tblLook w:val="04A0" w:firstRow="1" w:lastRow="0" w:firstColumn="1" w:lastColumn="0" w:noHBand="0" w:noVBand="1"/>
      </w:tblPr>
      <w:tblGrid>
        <w:gridCol w:w="2405"/>
        <w:gridCol w:w="2988"/>
        <w:gridCol w:w="1276"/>
        <w:gridCol w:w="2115"/>
      </w:tblGrid>
      <w:tr w:rsidR="00463D7A" w:rsidRPr="003870D1" w14:paraId="69D9C073" w14:textId="77777777" w:rsidTr="00EA2DE5">
        <w:trPr>
          <w:jc w:val="center"/>
        </w:trPr>
        <w:tc>
          <w:tcPr>
            <w:tcW w:w="2405" w:type="dxa"/>
            <w:shd w:val="clear" w:color="auto" w:fill="auto"/>
          </w:tcPr>
          <w:p w14:paraId="3E3C2386" w14:textId="77777777" w:rsidR="00463D7A" w:rsidRPr="005D0C62" w:rsidRDefault="00463D7A" w:rsidP="00EA2DE5">
            <w:pPr>
              <w:rPr>
                <w:rFonts w:eastAsia="Arial" w:cs="Arial"/>
                <w:b/>
                <w:bCs/>
              </w:rPr>
            </w:pPr>
            <w:r w:rsidRPr="1D797E29">
              <w:rPr>
                <w:rFonts w:eastAsia="Arial" w:cs="Arial"/>
                <w:b/>
                <w:bCs/>
              </w:rPr>
              <w:t>Milling statement  #</w:t>
            </w:r>
          </w:p>
        </w:tc>
        <w:tc>
          <w:tcPr>
            <w:tcW w:w="2988" w:type="dxa"/>
            <w:shd w:val="clear" w:color="auto" w:fill="auto"/>
          </w:tcPr>
          <w:p w14:paraId="242BB1CF" w14:textId="77777777" w:rsidR="00463D7A" w:rsidRPr="005D0C62" w:rsidRDefault="00463D7A" w:rsidP="00EA2DE5">
            <w:pPr>
              <w:rPr>
                <w:rFonts w:eastAsia="Arial" w:cs="Arial"/>
                <w:b/>
                <w:bCs/>
              </w:rPr>
            </w:pPr>
            <w:r w:rsidRPr="1D797E29">
              <w:rPr>
                <w:rFonts w:eastAsia="Arial" w:cs="Arial"/>
                <w:b/>
                <w:bCs/>
              </w:rPr>
              <w:t>Timber source</w:t>
            </w:r>
          </w:p>
        </w:tc>
        <w:tc>
          <w:tcPr>
            <w:tcW w:w="1276" w:type="dxa"/>
            <w:shd w:val="clear" w:color="auto" w:fill="auto"/>
          </w:tcPr>
          <w:p w14:paraId="3B511BC8" w14:textId="77777777" w:rsidR="00463D7A" w:rsidRPr="005D0C62" w:rsidRDefault="00463D7A" w:rsidP="00EA2DE5">
            <w:pPr>
              <w:rPr>
                <w:rFonts w:eastAsia="Arial" w:cs="Arial"/>
                <w:b/>
                <w:bCs/>
              </w:rPr>
            </w:pPr>
            <w:r w:rsidRPr="1D797E29">
              <w:rPr>
                <w:rFonts w:eastAsia="Arial" w:cs="Arial"/>
                <w:b/>
                <w:bCs/>
              </w:rPr>
              <w:t>Region</w:t>
            </w:r>
          </w:p>
        </w:tc>
        <w:tc>
          <w:tcPr>
            <w:tcW w:w="2115" w:type="dxa"/>
            <w:shd w:val="clear" w:color="auto" w:fill="auto"/>
          </w:tcPr>
          <w:p w14:paraId="31A3895F" w14:textId="77777777" w:rsidR="00463D7A" w:rsidRPr="005D0C62" w:rsidRDefault="00463D7A" w:rsidP="00EA2DE5">
            <w:pPr>
              <w:jc w:val="center"/>
              <w:rPr>
                <w:rFonts w:eastAsia="Arial" w:cs="Arial"/>
                <w:b/>
                <w:bCs/>
              </w:rPr>
            </w:pPr>
            <w:r w:rsidRPr="1D797E29">
              <w:rPr>
                <w:rFonts w:eastAsia="Arial" w:cs="Arial"/>
                <w:b/>
                <w:bCs/>
              </w:rPr>
              <w:t xml:space="preserve">Volume </w:t>
            </w:r>
          </w:p>
        </w:tc>
      </w:tr>
      <w:tr w:rsidR="00612C0D" w:rsidRPr="003870D1" w14:paraId="42E64BEA" w14:textId="77777777" w:rsidTr="00EA2DE5">
        <w:trPr>
          <w:jc w:val="center"/>
        </w:trPr>
        <w:tc>
          <w:tcPr>
            <w:tcW w:w="2405" w:type="dxa"/>
            <w:shd w:val="clear" w:color="auto" w:fill="auto"/>
          </w:tcPr>
          <w:p w14:paraId="61B8EBCB" w14:textId="1D1844FE" w:rsidR="00612C0D" w:rsidRPr="005D0C62" w:rsidRDefault="00612C0D" w:rsidP="00612C0D">
            <w:pPr>
              <w:jc w:val="center"/>
            </w:pPr>
            <w:r w:rsidRPr="00AB4D52">
              <w:t>7-00-02755</w:t>
            </w:r>
            <w:r w:rsidRPr="00612C0D">
              <w:rPr>
                <w:vertAlign w:val="superscript"/>
              </w:rPr>
              <w:t>1</w:t>
            </w:r>
          </w:p>
        </w:tc>
        <w:tc>
          <w:tcPr>
            <w:tcW w:w="2988" w:type="dxa"/>
            <w:shd w:val="clear" w:color="auto" w:fill="auto"/>
          </w:tcPr>
          <w:p w14:paraId="0E3AB9CB" w14:textId="60D7B765" w:rsidR="00612C0D" w:rsidRPr="005D0C62" w:rsidRDefault="00612C0D" w:rsidP="00612C0D">
            <w:pPr>
              <w:rPr>
                <w:rFonts w:eastAsia="Arial" w:cs="Arial"/>
              </w:rPr>
            </w:pPr>
            <w:r w:rsidRPr="00AB4D52">
              <w:t>Land that is not indigenous forest land</w:t>
            </w:r>
          </w:p>
        </w:tc>
        <w:tc>
          <w:tcPr>
            <w:tcW w:w="1276" w:type="dxa"/>
            <w:shd w:val="clear" w:color="auto" w:fill="auto"/>
          </w:tcPr>
          <w:p w14:paraId="7DF65B90" w14:textId="4EA38D2F" w:rsidR="00612C0D" w:rsidRPr="005D0C62" w:rsidRDefault="00612C0D" w:rsidP="00612C0D">
            <w:pPr>
              <w:rPr>
                <w:rFonts w:eastAsia="Arial" w:cs="Arial"/>
              </w:rPr>
            </w:pPr>
            <w:r w:rsidRPr="00AB4D52">
              <w:t>Northland</w:t>
            </w:r>
          </w:p>
        </w:tc>
        <w:tc>
          <w:tcPr>
            <w:tcW w:w="2115" w:type="dxa"/>
            <w:shd w:val="clear" w:color="auto" w:fill="auto"/>
          </w:tcPr>
          <w:p w14:paraId="6F2393B4" w14:textId="736C28B3" w:rsidR="00612C0D" w:rsidRPr="00972444" w:rsidRDefault="00612C0D" w:rsidP="00612C0D">
            <w:pPr>
              <w:jc w:val="center"/>
              <w:rPr>
                <w:rFonts w:eastAsia="Arial" w:cs="Arial"/>
              </w:rPr>
            </w:pPr>
            <w:r w:rsidRPr="00AB4D52">
              <w:t>0.5</w:t>
            </w:r>
          </w:p>
        </w:tc>
      </w:tr>
      <w:tr w:rsidR="00612C0D" w:rsidRPr="003870D1" w14:paraId="3343B6EA" w14:textId="77777777" w:rsidTr="00EA2DE5">
        <w:trPr>
          <w:jc w:val="center"/>
        </w:trPr>
        <w:tc>
          <w:tcPr>
            <w:tcW w:w="2405" w:type="dxa"/>
            <w:shd w:val="clear" w:color="auto" w:fill="auto"/>
          </w:tcPr>
          <w:p w14:paraId="17FB1CAA" w14:textId="471B8B01" w:rsidR="00612C0D" w:rsidRPr="005D0C62" w:rsidRDefault="00612C0D" w:rsidP="00612C0D">
            <w:pPr>
              <w:jc w:val="center"/>
            </w:pPr>
            <w:r w:rsidRPr="00AB4D52">
              <w:t>7-00-02758</w:t>
            </w:r>
            <w:r w:rsidRPr="00612C0D">
              <w:rPr>
                <w:vertAlign w:val="superscript"/>
              </w:rPr>
              <w:t>2</w:t>
            </w:r>
          </w:p>
        </w:tc>
        <w:tc>
          <w:tcPr>
            <w:tcW w:w="2988" w:type="dxa"/>
            <w:shd w:val="clear" w:color="auto" w:fill="auto"/>
          </w:tcPr>
          <w:p w14:paraId="17875245" w14:textId="32FF5C02" w:rsidR="00612C0D" w:rsidRPr="005D0C62" w:rsidRDefault="00612C0D" w:rsidP="00612C0D">
            <w:pPr>
              <w:rPr>
                <w:rFonts w:eastAsia="Arial" w:cs="Arial"/>
              </w:rPr>
            </w:pPr>
            <w:r w:rsidRPr="00AB4D52">
              <w:t>Land that is not indigenous forest land</w:t>
            </w:r>
          </w:p>
        </w:tc>
        <w:tc>
          <w:tcPr>
            <w:tcW w:w="1276" w:type="dxa"/>
            <w:shd w:val="clear" w:color="auto" w:fill="auto"/>
          </w:tcPr>
          <w:p w14:paraId="3D6BD07F" w14:textId="09797E1D" w:rsidR="00612C0D" w:rsidRPr="005D0C62" w:rsidRDefault="00612C0D" w:rsidP="00612C0D">
            <w:pPr>
              <w:rPr>
                <w:rFonts w:eastAsia="Arial" w:cs="Arial"/>
              </w:rPr>
            </w:pPr>
            <w:r w:rsidRPr="00AB4D52">
              <w:t>Northland</w:t>
            </w:r>
          </w:p>
        </w:tc>
        <w:tc>
          <w:tcPr>
            <w:tcW w:w="2115" w:type="dxa"/>
            <w:shd w:val="clear" w:color="auto" w:fill="auto"/>
          </w:tcPr>
          <w:p w14:paraId="6C2A7126" w14:textId="14E7D9A8" w:rsidR="00612C0D" w:rsidRPr="00972444" w:rsidRDefault="00612C0D" w:rsidP="00612C0D">
            <w:pPr>
              <w:jc w:val="center"/>
              <w:rPr>
                <w:rFonts w:eastAsia="Arial" w:cs="Arial"/>
              </w:rPr>
            </w:pPr>
            <w:r w:rsidRPr="00AB4D52">
              <w:t>50</w:t>
            </w:r>
          </w:p>
        </w:tc>
      </w:tr>
      <w:tr w:rsidR="00612C0D" w:rsidRPr="003870D1" w14:paraId="6431DF54" w14:textId="77777777" w:rsidTr="00EA2DE5">
        <w:trPr>
          <w:jc w:val="center"/>
        </w:trPr>
        <w:tc>
          <w:tcPr>
            <w:tcW w:w="2405" w:type="dxa"/>
            <w:shd w:val="clear" w:color="auto" w:fill="auto"/>
          </w:tcPr>
          <w:p w14:paraId="47CD0F71" w14:textId="1D95C193" w:rsidR="00612C0D" w:rsidRPr="005D0C62" w:rsidRDefault="00612C0D" w:rsidP="00612C0D">
            <w:pPr>
              <w:jc w:val="center"/>
            </w:pPr>
            <w:r w:rsidRPr="00AB4D52">
              <w:t>7-01-02776</w:t>
            </w:r>
          </w:p>
        </w:tc>
        <w:tc>
          <w:tcPr>
            <w:tcW w:w="2988" w:type="dxa"/>
            <w:shd w:val="clear" w:color="auto" w:fill="auto"/>
          </w:tcPr>
          <w:p w14:paraId="20D63320" w14:textId="152FD914" w:rsidR="00612C0D" w:rsidRPr="005D0C62" w:rsidRDefault="00612C0D" w:rsidP="00612C0D">
            <w:pPr>
              <w:rPr>
                <w:rFonts w:eastAsia="Arial" w:cs="Arial"/>
              </w:rPr>
            </w:pPr>
            <w:r w:rsidRPr="00AB4D52">
              <w:t>Land that is not indigenous forest land</w:t>
            </w:r>
          </w:p>
        </w:tc>
        <w:tc>
          <w:tcPr>
            <w:tcW w:w="1276" w:type="dxa"/>
            <w:shd w:val="clear" w:color="auto" w:fill="auto"/>
          </w:tcPr>
          <w:p w14:paraId="54741AA1" w14:textId="67A7A257" w:rsidR="00612C0D" w:rsidRPr="005D0C62" w:rsidRDefault="00612C0D" w:rsidP="00612C0D">
            <w:pPr>
              <w:rPr>
                <w:rFonts w:eastAsia="Arial" w:cs="Arial"/>
              </w:rPr>
            </w:pPr>
            <w:r w:rsidRPr="00AB4D52">
              <w:t xml:space="preserve">Auckland </w:t>
            </w:r>
          </w:p>
        </w:tc>
        <w:tc>
          <w:tcPr>
            <w:tcW w:w="2115" w:type="dxa"/>
            <w:shd w:val="clear" w:color="auto" w:fill="auto"/>
          </w:tcPr>
          <w:p w14:paraId="052E81B0" w14:textId="250BC7C9" w:rsidR="00612C0D" w:rsidRPr="00972444" w:rsidRDefault="00612C0D" w:rsidP="00612C0D">
            <w:pPr>
              <w:jc w:val="center"/>
              <w:rPr>
                <w:rFonts w:eastAsia="Arial" w:cs="Arial"/>
              </w:rPr>
            </w:pPr>
            <w:r w:rsidRPr="00AB4D52">
              <w:t>20</w:t>
            </w:r>
          </w:p>
        </w:tc>
      </w:tr>
      <w:tr w:rsidR="00463D7A" w:rsidRPr="00D87E66" w14:paraId="72937A78" w14:textId="77777777" w:rsidTr="00EA2DE5">
        <w:trPr>
          <w:jc w:val="center"/>
        </w:trPr>
        <w:tc>
          <w:tcPr>
            <w:tcW w:w="2405" w:type="dxa"/>
            <w:tcBorders>
              <w:left w:val="nil"/>
              <w:bottom w:val="nil"/>
              <w:right w:val="nil"/>
            </w:tcBorders>
            <w:shd w:val="clear" w:color="auto" w:fill="auto"/>
          </w:tcPr>
          <w:p w14:paraId="08677E52" w14:textId="77777777" w:rsidR="00463D7A" w:rsidRPr="005D0C62" w:rsidRDefault="00463D7A" w:rsidP="00EA2DE5">
            <w:pPr>
              <w:rPr>
                <w:rFonts w:cs="Arial"/>
              </w:rPr>
            </w:pPr>
          </w:p>
        </w:tc>
        <w:tc>
          <w:tcPr>
            <w:tcW w:w="2988" w:type="dxa"/>
            <w:tcBorders>
              <w:left w:val="nil"/>
              <w:bottom w:val="nil"/>
              <w:right w:val="nil"/>
            </w:tcBorders>
            <w:shd w:val="clear" w:color="auto" w:fill="auto"/>
          </w:tcPr>
          <w:p w14:paraId="0565B6E8" w14:textId="77777777" w:rsidR="00463D7A" w:rsidRPr="005D0C62" w:rsidRDefault="00463D7A" w:rsidP="00EA2DE5">
            <w:pPr>
              <w:rPr>
                <w:rFonts w:cs="Arial"/>
              </w:rPr>
            </w:pPr>
          </w:p>
        </w:tc>
        <w:tc>
          <w:tcPr>
            <w:tcW w:w="1276" w:type="dxa"/>
            <w:tcBorders>
              <w:left w:val="nil"/>
              <w:bottom w:val="nil"/>
            </w:tcBorders>
            <w:shd w:val="clear" w:color="auto" w:fill="auto"/>
          </w:tcPr>
          <w:p w14:paraId="2A268EB7" w14:textId="77777777" w:rsidR="00463D7A" w:rsidRPr="005D0C62" w:rsidRDefault="00463D7A" w:rsidP="00EA2DE5">
            <w:pPr>
              <w:rPr>
                <w:rFonts w:cs="Arial"/>
              </w:rPr>
            </w:pPr>
          </w:p>
        </w:tc>
        <w:tc>
          <w:tcPr>
            <w:tcW w:w="2115" w:type="dxa"/>
            <w:shd w:val="clear" w:color="auto" w:fill="auto"/>
          </w:tcPr>
          <w:p w14:paraId="243DD14F" w14:textId="14C9CF09" w:rsidR="00463D7A" w:rsidRPr="005D0C62" w:rsidRDefault="00612C0D" w:rsidP="00EA2DE5">
            <w:pPr>
              <w:jc w:val="center"/>
              <w:rPr>
                <w:rFonts w:eastAsia="Arial" w:cs="Arial"/>
                <w:b/>
                <w:bCs/>
              </w:rPr>
            </w:pPr>
            <w:r>
              <w:rPr>
                <w:rFonts w:eastAsia="Arial" w:cs="Arial"/>
                <w:b/>
                <w:bCs/>
              </w:rPr>
              <w:t>70.5</w:t>
            </w:r>
            <w:r w:rsidR="00463D7A" w:rsidRPr="133A02E4">
              <w:rPr>
                <w:rFonts w:eastAsia="Arial" w:cs="Arial"/>
                <w:b/>
                <w:bCs/>
              </w:rPr>
              <w:t>m</w:t>
            </w:r>
            <w:r w:rsidR="00463D7A" w:rsidRPr="133A02E4">
              <w:rPr>
                <w:rFonts w:eastAsia="Arial" w:cs="Arial"/>
                <w:b/>
                <w:bCs/>
                <w:vertAlign w:val="superscript"/>
              </w:rPr>
              <w:t>3</w:t>
            </w:r>
          </w:p>
        </w:tc>
      </w:tr>
    </w:tbl>
    <w:p w14:paraId="1ECE4555" w14:textId="77777777" w:rsidR="00463D7A" w:rsidRDefault="00463D7A" w:rsidP="00463D7A">
      <w:pPr>
        <w:spacing w:after="0" w:line="240" w:lineRule="auto"/>
        <w:rPr>
          <w:vertAlign w:val="superscript"/>
        </w:rPr>
      </w:pPr>
    </w:p>
    <w:p w14:paraId="6A468B8B" w14:textId="1F877A72" w:rsidR="00463D7A" w:rsidRPr="00182759" w:rsidRDefault="00463D7A" w:rsidP="00463D7A">
      <w:pPr>
        <w:spacing w:after="0" w:line="240" w:lineRule="auto"/>
        <w:rPr>
          <w:sz w:val="18"/>
          <w:szCs w:val="18"/>
        </w:rPr>
      </w:pPr>
      <w:r w:rsidRPr="00182759">
        <w:rPr>
          <w:sz w:val="18"/>
          <w:szCs w:val="18"/>
          <w:vertAlign w:val="superscript"/>
        </w:rPr>
        <w:t>1.</w:t>
      </w:r>
      <w:r w:rsidRPr="00182759">
        <w:rPr>
          <w:sz w:val="18"/>
          <w:szCs w:val="18"/>
        </w:rPr>
        <w:t xml:space="preserve"> This is a </w:t>
      </w:r>
      <w:r w:rsidR="00612C0D" w:rsidRPr="00182759">
        <w:rPr>
          <w:sz w:val="18"/>
          <w:szCs w:val="18"/>
        </w:rPr>
        <w:t xml:space="preserve">part </w:t>
      </w:r>
      <w:r w:rsidRPr="00182759">
        <w:rPr>
          <w:sz w:val="18"/>
          <w:szCs w:val="18"/>
        </w:rPr>
        <w:t>renewal of 7-00-02</w:t>
      </w:r>
      <w:r w:rsidR="00612C0D" w:rsidRPr="00182759">
        <w:rPr>
          <w:sz w:val="18"/>
          <w:szCs w:val="18"/>
        </w:rPr>
        <w:t>285.</w:t>
      </w:r>
    </w:p>
    <w:p w14:paraId="212875F5" w14:textId="484F488F" w:rsidR="00463D7A" w:rsidRDefault="00463D7A" w:rsidP="00463D7A">
      <w:pPr>
        <w:spacing w:after="0" w:line="240" w:lineRule="auto"/>
        <w:rPr>
          <w:sz w:val="18"/>
          <w:szCs w:val="18"/>
        </w:rPr>
      </w:pPr>
      <w:r w:rsidRPr="00182759">
        <w:rPr>
          <w:sz w:val="18"/>
          <w:szCs w:val="18"/>
          <w:vertAlign w:val="superscript"/>
        </w:rPr>
        <w:t>2.</w:t>
      </w:r>
      <w:r w:rsidRPr="00182759">
        <w:rPr>
          <w:sz w:val="18"/>
          <w:szCs w:val="18"/>
        </w:rPr>
        <w:t xml:space="preserve"> This is a </w:t>
      </w:r>
      <w:r w:rsidR="00612C0D" w:rsidRPr="00182759">
        <w:rPr>
          <w:sz w:val="18"/>
          <w:szCs w:val="18"/>
        </w:rPr>
        <w:t xml:space="preserve">part </w:t>
      </w:r>
      <w:r w:rsidRPr="00182759">
        <w:rPr>
          <w:sz w:val="18"/>
          <w:szCs w:val="18"/>
        </w:rPr>
        <w:t xml:space="preserve">renewal of </w:t>
      </w:r>
      <w:r w:rsidR="00612C0D" w:rsidRPr="00182759">
        <w:rPr>
          <w:sz w:val="18"/>
          <w:szCs w:val="18"/>
        </w:rPr>
        <w:t>timber remaining from of timber remaining from 7-00-01704; 7-00-01909; and 7-00-</w:t>
      </w:r>
      <w:r w:rsidR="00182759">
        <w:rPr>
          <w:sz w:val="18"/>
          <w:szCs w:val="18"/>
        </w:rPr>
        <w:t xml:space="preserve">      </w:t>
      </w:r>
      <w:r w:rsidR="00612C0D" w:rsidRPr="00182759">
        <w:rPr>
          <w:sz w:val="18"/>
          <w:szCs w:val="18"/>
        </w:rPr>
        <w:t>01891</w:t>
      </w:r>
      <w:r w:rsidRPr="00182759">
        <w:rPr>
          <w:sz w:val="18"/>
          <w:szCs w:val="18"/>
        </w:rPr>
        <w:t>.</w:t>
      </w:r>
    </w:p>
    <w:p w14:paraId="2841F12D" w14:textId="77777777" w:rsidR="00463D7A" w:rsidRDefault="00463D7A" w:rsidP="00463D7A">
      <w:pPr>
        <w:spacing w:after="0" w:line="240" w:lineRule="auto"/>
        <w:rPr>
          <w:sz w:val="18"/>
          <w:szCs w:val="18"/>
        </w:rPr>
      </w:pPr>
    </w:p>
    <w:p w14:paraId="04CE1588" w14:textId="77777777" w:rsidR="00463D7A" w:rsidRDefault="00463D7A" w:rsidP="00463D7A">
      <w:pPr>
        <w:spacing w:line="320" w:lineRule="atLeast"/>
        <w:jc w:val="both"/>
        <w:rPr>
          <w:rFonts w:cs="Arial"/>
        </w:rPr>
      </w:pPr>
    </w:p>
    <w:p w14:paraId="711CAF23" w14:textId="77777777" w:rsidR="00463D7A" w:rsidRDefault="00463D7A" w:rsidP="00463D7A">
      <w:pPr>
        <w:spacing w:after="0" w:line="360" w:lineRule="auto"/>
        <w:jc w:val="center"/>
      </w:pPr>
    </w:p>
    <w:p w14:paraId="7477BC69" w14:textId="77777777" w:rsidR="00241C26" w:rsidRDefault="00241C26"/>
    <w:p w14:paraId="3083FB29" w14:textId="77777777" w:rsidR="00463D7A" w:rsidRDefault="00463D7A"/>
    <w:p w14:paraId="524726D7" w14:textId="77777777" w:rsidR="00463D7A" w:rsidRDefault="00463D7A"/>
    <w:p w14:paraId="0EA9E2DF" w14:textId="77777777" w:rsidR="00463D7A" w:rsidRDefault="00463D7A"/>
    <w:p w14:paraId="2671338B" w14:textId="77777777" w:rsidR="00463D7A" w:rsidRDefault="00463D7A"/>
    <w:p w14:paraId="5FD32D9E" w14:textId="77777777" w:rsidR="00463D7A" w:rsidRDefault="00463D7A"/>
    <w:p w14:paraId="4389E33C" w14:textId="77777777" w:rsidR="00463D7A" w:rsidRDefault="00463D7A"/>
    <w:p w14:paraId="716ADE34" w14:textId="77777777" w:rsidR="00612C0D" w:rsidRDefault="00612C0D">
      <w:pPr>
        <w:spacing w:after="160" w:line="259" w:lineRule="auto"/>
        <w:rPr>
          <w:rFonts w:ascii="Arial Narrow" w:eastAsiaTheme="majorEastAsia" w:hAnsi="Arial Narrow" w:cstheme="majorBidi"/>
          <w:sz w:val="28"/>
          <w:szCs w:val="28"/>
          <w:u w:val="single"/>
        </w:rPr>
      </w:pPr>
      <w:r>
        <w:rPr>
          <w:b/>
          <w:sz w:val="28"/>
          <w:szCs w:val="28"/>
          <w:u w:val="single"/>
        </w:rPr>
        <w:br w:type="page"/>
      </w:r>
    </w:p>
    <w:p w14:paraId="1BDF50A9" w14:textId="442C4549" w:rsidR="00463D7A" w:rsidRPr="00CE3879" w:rsidRDefault="00463D7A" w:rsidP="00463D7A">
      <w:pPr>
        <w:pStyle w:val="Heading1"/>
        <w:jc w:val="both"/>
        <w:rPr>
          <w:b w:val="0"/>
          <w:sz w:val="28"/>
          <w:szCs w:val="28"/>
          <w:u w:val="single"/>
        </w:rPr>
      </w:pPr>
      <w:r w:rsidRPr="1D797E29">
        <w:rPr>
          <w:b w:val="0"/>
          <w:sz w:val="28"/>
          <w:szCs w:val="28"/>
          <w:u w:val="single"/>
        </w:rPr>
        <w:lastRenderedPageBreak/>
        <w:t>Site inspections</w:t>
      </w:r>
    </w:p>
    <w:p w14:paraId="61263165" w14:textId="77777777" w:rsidR="00463D7A" w:rsidRDefault="00463D7A" w:rsidP="00463D7A">
      <w:pPr>
        <w:spacing w:after="0" w:line="360" w:lineRule="auto"/>
        <w:jc w:val="both"/>
      </w:pPr>
    </w:p>
    <w:p w14:paraId="1141CCE8" w14:textId="77777777" w:rsidR="00463D7A" w:rsidRDefault="00463D7A" w:rsidP="00463D7A">
      <w:pPr>
        <w:spacing w:after="0" w:line="360" w:lineRule="auto"/>
        <w:jc w:val="both"/>
      </w:pPr>
      <w:r>
        <w:t>Responsibility for managing the extraction of swamp kauri rests with Regional and District Councils, under the Resource Management Act. However, as part of the evidence required when applying for a milling statement or for export approval, MPI inspects all new notified sites before and after extraction activities.</w:t>
      </w:r>
    </w:p>
    <w:p w14:paraId="245E9243" w14:textId="77777777" w:rsidR="00463D7A" w:rsidRDefault="00463D7A" w:rsidP="00463D7A">
      <w:pPr>
        <w:spacing w:after="0" w:line="360" w:lineRule="auto"/>
        <w:jc w:val="both"/>
      </w:pPr>
    </w:p>
    <w:p w14:paraId="5B1DCDBC" w14:textId="46FB0549" w:rsidR="00463D7A" w:rsidRDefault="00612C0D" w:rsidP="00463D7A">
      <w:pPr>
        <w:rPr>
          <w:rFonts w:eastAsia="Arial" w:cs="Arial"/>
        </w:rPr>
      </w:pPr>
      <w:r>
        <w:rPr>
          <w:rFonts w:eastAsia="Arial" w:cs="Arial"/>
        </w:rPr>
        <w:t xml:space="preserve">Two extraction sites were active this quarter. One had a pre-extraction inspection conducted in a previous quarter. </w:t>
      </w:r>
      <w:r w:rsidR="006300BB">
        <w:rPr>
          <w:rFonts w:eastAsia="Arial" w:cs="Arial"/>
        </w:rPr>
        <w:t>MPI conducted post extraction inspections of two sites which were active in previous quarters.</w:t>
      </w:r>
      <w:bookmarkStart w:id="0" w:name="_GoBack"/>
      <w:bookmarkEnd w:id="0"/>
    </w:p>
    <w:p w14:paraId="216A8462" w14:textId="77777777" w:rsidR="00463D7A" w:rsidRPr="005D0C62" w:rsidRDefault="00463D7A" w:rsidP="00463D7A">
      <w:pPr>
        <w:rPr>
          <w:rFonts w:cs="Arial"/>
        </w:rPr>
      </w:pPr>
    </w:p>
    <w:p w14:paraId="0E656A56" w14:textId="77777777" w:rsidR="00463D7A" w:rsidRDefault="00463D7A" w:rsidP="00463D7A">
      <w:pPr>
        <w:spacing w:after="240" w:line="360" w:lineRule="auto"/>
        <w:jc w:val="both"/>
      </w:pPr>
      <w:r w:rsidRPr="1D797E29">
        <w:rPr>
          <w:rFonts w:eastAsia="Arial" w:cs="Arial"/>
          <w:b/>
          <w:bCs/>
        </w:rPr>
        <w:t>Table 2:</w:t>
      </w:r>
      <w:r w:rsidRPr="1D797E29">
        <w:rPr>
          <w:rFonts w:eastAsia="Arial" w:cs="Arial"/>
        </w:rPr>
        <w:t xml:space="preserve"> Inspections of notified swamp kauri extraction sites, </w:t>
      </w:r>
      <w:r>
        <w:t>1 July – 30 September 2017.</w:t>
      </w:r>
    </w:p>
    <w:tbl>
      <w:tblPr>
        <w:tblStyle w:val="TableGrid"/>
        <w:tblW w:w="0" w:type="auto"/>
        <w:jc w:val="center"/>
        <w:tblLook w:val="04A0" w:firstRow="1" w:lastRow="0" w:firstColumn="1" w:lastColumn="0" w:noHBand="0" w:noVBand="1"/>
      </w:tblPr>
      <w:tblGrid>
        <w:gridCol w:w="2122"/>
        <w:gridCol w:w="1275"/>
      </w:tblGrid>
      <w:tr w:rsidR="00463D7A" w:rsidRPr="005D0C62" w14:paraId="4F48131A" w14:textId="77777777" w:rsidTr="00EA2DE5">
        <w:trPr>
          <w:jc w:val="center"/>
        </w:trPr>
        <w:tc>
          <w:tcPr>
            <w:tcW w:w="2122" w:type="dxa"/>
          </w:tcPr>
          <w:p w14:paraId="63AD2AB3" w14:textId="77777777" w:rsidR="00463D7A" w:rsidRPr="005D0C62" w:rsidRDefault="00463D7A" w:rsidP="00EA2DE5">
            <w:pPr>
              <w:rPr>
                <w:rFonts w:eastAsia="Arial" w:cs="Arial"/>
                <w:b/>
                <w:bCs/>
              </w:rPr>
            </w:pPr>
            <w:r w:rsidRPr="1D797E29">
              <w:rPr>
                <w:rFonts w:eastAsia="Arial" w:cs="Arial"/>
                <w:b/>
                <w:bCs/>
              </w:rPr>
              <w:t>Total Sites</w:t>
            </w:r>
          </w:p>
        </w:tc>
        <w:tc>
          <w:tcPr>
            <w:tcW w:w="1275" w:type="dxa"/>
          </w:tcPr>
          <w:p w14:paraId="054BFD7B" w14:textId="7E2F8C53" w:rsidR="00463D7A" w:rsidRPr="005D0C62" w:rsidRDefault="00162B34" w:rsidP="00EA2DE5">
            <w:pPr>
              <w:jc w:val="center"/>
              <w:rPr>
                <w:rFonts w:eastAsia="Arial" w:cs="Arial"/>
                <w:b/>
                <w:bCs/>
              </w:rPr>
            </w:pPr>
            <w:r>
              <w:rPr>
                <w:rFonts w:eastAsia="Arial" w:cs="Arial"/>
                <w:b/>
                <w:bCs/>
              </w:rPr>
              <w:t>4</w:t>
            </w:r>
          </w:p>
        </w:tc>
      </w:tr>
      <w:tr w:rsidR="00463D7A" w:rsidRPr="005D0C62" w14:paraId="27B1B0E5" w14:textId="77777777" w:rsidTr="00EA2DE5">
        <w:trPr>
          <w:trHeight w:val="70"/>
          <w:jc w:val="center"/>
        </w:trPr>
        <w:tc>
          <w:tcPr>
            <w:tcW w:w="2122" w:type="dxa"/>
          </w:tcPr>
          <w:p w14:paraId="1B11A7DC" w14:textId="77777777" w:rsidR="00463D7A" w:rsidRPr="005D0C62" w:rsidRDefault="00463D7A" w:rsidP="00EA2DE5">
            <w:pPr>
              <w:spacing w:after="0" w:line="20" w:lineRule="exact"/>
              <w:rPr>
                <w:rFonts w:cs="Arial"/>
                <w:b/>
                <w:sz w:val="2"/>
                <w:szCs w:val="2"/>
              </w:rPr>
            </w:pPr>
          </w:p>
        </w:tc>
        <w:tc>
          <w:tcPr>
            <w:tcW w:w="1275" w:type="dxa"/>
          </w:tcPr>
          <w:p w14:paraId="0F616D7B" w14:textId="77777777" w:rsidR="00463D7A" w:rsidRPr="005D0C62" w:rsidRDefault="00463D7A" w:rsidP="00EA2DE5">
            <w:pPr>
              <w:spacing w:after="0" w:line="20" w:lineRule="exact"/>
              <w:jc w:val="center"/>
              <w:rPr>
                <w:rFonts w:cs="Arial"/>
                <w:b/>
                <w:sz w:val="2"/>
                <w:szCs w:val="2"/>
              </w:rPr>
            </w:pPr>
          </w:p>
        </w:tc>
      </w:tr>
      <w:tr w:rsidR="00463D7A" w:rsidRPr="005D0C62" w14:paraId="61D1FF9F" w14:textId="77777777" w:rsidTr="00EA2DE5">
        <w:trPr>
          <w:jc w:val="center"/>
        </w:trPr>
        <w:tc>
          <w:tcPr>
            <w:tcW w:w="2122" w:type="dxa"/>
          </w:tcPr>
          <w:p w14:paraId="66DC1748" w14:textId="77777777" w:rsidR="00463D7A" w:rsidRPr="005D0C62" w:rsidRDefault="00463D7A" w:rsidP="00EA2DE5">
            <w:pPr>
              <w:rPr>
                <w:rFonts w:eastAsia="Arial" w:cs="Arial"/>
                <w:b/>
                <w:bCs/>
              </w:rPr>
            </w:pPr>
            <w:r w:rsidRPr="1D797E29">
              <w:rPr>
                <w:rFonts w:eastAsia="Arial" w:cs="Arial"/>
                <w:b/>
                <w:bCs/>
              </w:rPr>
              <w:t>Total Inspections</w:t>
            </w:r>
          </w:p>
        </w:tc>
        <w:tc>
          <w:tcPr>
            <w:tcW w:w="1275" w:type="dxa"/>
          </w:tcPr>
          <w:p w14:paraId="24761A0C" w14:textId="2D5CD31C" w:rsidR="00463D7A" w:rsidRPr="005D0C62" w:rsidRDefault="00612C0D" w:rsidP="00EA2DE5">
            <w:pPr>
              <w:jc w:val="center"/>
              <w:rPr>
                <w:rFonts w:eastAsia="Arial" w:cs="Arial"/>
                <w:b/>
                <w:bCs/>
              </w:rPr>
            </w:pPr>
            <w:r>
              <w:rPr>
                <w:rFonts w:eastAsia="Arial" w:cs="Arial"/>
                <w:b/>
                <w:bCs/>
              </w:rPr>
              <w:t>1</w:t>
            </w:r>
          </w:p>
        </w:tc>
      </w:tr>
      <w:tr w:rsidR="00463D7A" w:rsidRPr="005D0C62" w14:paraId="7E71CA16" w14:textId="77777777" w:rsidTr="00EA2DE5">
        <w:trPr>
          <w:jc w:val="center"/>
        </w:trPr>
        <w:tc>
          <w:tcPr>
            <w:tcW w:w="2122" w:type="dxa"/>
          </w:tcPr>
          <w:p w14:paraId="5048589E" w14:textId="77777777" w:rsidR="00463D7A" w:rsidRPr="005D0C62" w:rsidRDefault="00463D7A" w:rsidP="00EA2DE5">
            <w:pPr>
              <w:rPr>
                <w:rFonts w:eastAsia="Arial" w:cs="Arial"/>
                <w:b/>
                <w:bCs/>
              </w:rPr>
            </w:pPr>
            <w:r w:rsidRPr="1D797E29">
              <w:rPr>
                <w:rFonts w:eastAsia="Arial" w:cs="Arial"/>
              </w:rPr>
              <w:t xml:space="preserve">   Pre-extraction</w:t>
            </w:r>
          </w:p>
        </w:tc>
        <w:tc>
          <w:tcPr>
            <w:tcW w:w="1275" w:type="dxa"/>
          </w:tcPr>
          <w:p w14:paraId="027C87C9" w14:textId="5D1B9530" w:rsidR="00463D7A" w:rsidRPr="005D0C62" w:rsidRDefault="00612C0D" w:rsidP="00EA2DE5">
            <w:pPr>
              <w:tabs>
                <w:tab w:val="left" w:pos="570"/>
                <w:tab w:val="center" w:pos="1085"/>
              </w:tabs>
              <w:jc w:val="center"/>
              <w:rPr>
                <w:rFonts w:eastAsia="Arial" w:cs="Arial"/>
                <w:b/>
                <w:bCs/>
              </w:rPr>
            </w:pPr>
            <w:r>
              <w:rPr>
                <w:rFonts w:eastAsia="Arial" w:cs="Arial"/>
                <w:b/>
                <w:bCs/>
              </w:rPr>
              <w:t>1</w:t>
            </w:r>
          </w:p>
        </w:tc>
      </w:tr>
      <w:tr w:rsidR="00463D7A" w:rsidRPr="005D0C62" w14:paraId="745C1AEF" w14:textId="77777777" w:rsidTr="00EA2DE5">
        <w:trPr>
          <w:jc w:val="center"/>
        </w:trPr>
        <w:tc>
          <w:tcPr>
            <w:tcW w:w="2122" w:type="dxa"/>
          </w:tcPr>
          <w:p w14:paraId="6E62A44E" w14:textId="77777777" w:rsidR="00463D7A" w:rsidRPr="005D0C62" w:rsidRDefault="00463D7A" w:rsidP="00EA2DE5">
            <w:pPr>
              <w:rPr>
                <w:rFonts w:eastAsia="Arial" w:cs="Arial"/>
              </w:rPr>
            </w:pPr>
            <w:r w:rsidRPr="1D797E29">
              <w:rPr>
                <w:rFonts w:eastAsia="Arial" w:cs="Arial"/>
              </w:rPr>
              <w:t xml:space="preserve">   Mid-extraction</w:t>
            </w:r>
          </w:p>
        </w:tc>
        <w:tc>
          <w:tcPr>
            <w:tcW w:w="1275" w:type="dxa"/>
          </w:tcPr>
          <w:p w14:paraId="59462DE9" w14:textId="77777777" w:rsidR="00463D7A" w:rsidRPr="005D0C62" w:rsidRDefault="00463D7A" w:rsidP="00EA2DE5">
            <w:pPr>
              <w:jc w:val="center"/>
              <w:rPr>
                <w:rFonts w:eastAsia="Arial" w:cs="Arial"/>
              </w:rPr>
            </w:pPr>
          </w:p>
        </w:tc>
      </w:tr>
      <w:tr w:rsidR="00463D7A" w:rsidRPr="005D0C62" w14:paraId="40140821" w14:textId="77777777" w:rsidTr="00EA2DE5">
        <w:trPr>
          <w:trHeight w:val="60"/>
          <w:jc w:val="center"/>
        </w:trPr>
        <w:tc>
          <w:tcPr>
            <w:tcW w:w="2122" w:type="dxa"/>
          </w:tcPr>
          <w:p w14:paraId="0C82341F" w14:textId="77777777" w:rsidR="00463D7A" w:rsidRPr="005D0C62" w:rsidRDefault="00463D7A" w:rsidP="00EA2DE5">
            <w:pPr>
              <w:rPr>
                <w:rFonts w:eastAsia="Arial" w:cs="Arial"/>
              </w:rPr>
            </w:pPr>
            <w:r w:rsidRPr="1D797E29">
              <w:rPr>
                <w:rFonts w:eastAsia="Arial" w:cs="Arial"/>
              </w:rPr>
              <w:t xml:space="preserve">   Post-extraction</w:t>
            </w:r>
          </w:p>
        </w:tc>
        <w:tc>
          <w:tcPr>
            <w:tcW w:w="1275" w:type="dxa"/>
          </w:tcPr>
          <w:p w14:paraId="7A162EF3" w14:textId="337315E4" w:rsidR="00463D7A" w:rsidRPr="00162B34" w:rsidRDefault="00162B34" w:rsidP="00EA2DE5">
            <w:pPr>
              <w:jc w:val="center"/>
              <w:rPr>
                <w:rFonts w:eastAsia="Arial" w:cs="Arial"/>
                <w:b/>
              </w:rPr>
            </w:pPr>
            <w:r w:rsidRPr="00162B34">
              <w:rPr>
                <w:rFonts w:eastAsia="Arial" w:cs="Arial"/>
                <w:b/>
              </w:rPr>
              <w:t>2</w:t>
            </w:r>
          </w:p>
        </w:tc>
      </w:tr>
    </w:tbl>
    <w:p w14:paraId="25032DBA" w14:textId="4784DE05" w:rsidR="00463D7A" w:rsidRDefault="00463D7A" w:rsidP="00463D7A"/>
    <w:p w14:paraId="05FDF7E3" w14:textId="77777777" w:rsidR="00463D7A" w:rsidRDefault="00463D7A" w:rsidP="00463D7A"/>
    <w:p w14:paraId="7B1B8598" w14:textId="77777777" w:rsidR="00463D7A" w:rsidRDefault="00463D7A" w:rsidP="00463D7A"/>
    <w:p w14:paraId="69E11905" w14:textId="77777777" w:rsidR="00463D7A" w:rsidRDefault="00463D7A" w:rsidP="00463D7A"/>
    <w:p w14:paraId="7B89B7F1" w14:textId="77777777" w:rsidR="00463D7A" w:rsidRDefault="00463D7A" w:rsidP="00463D7A"/>
    <w:p w14:paraId="6D62A4AA" w14:textId="77777777" w:rsidR="00463D7A" w:rsidRDefault="00463D7A" w:rsidP="00463D7A"/>
    <w:p w14:paraId="7C54015E" w14:textId="77777777" w:rsidR="00463D7A" w:rsidRDefault="00463D7A" w:rsidP="00463D7A"/>
    <w:p w14:paraId="3DC57DD7" w14:textId="77777777" w:rsidR="00463D7A" w:rsidRDefault="00463D7A" w:rsidP="00463D7A"/>
    <w:p w14:paraId="5C798356" w14:textId="77777777" w:rsidR="00463D7A" w:rsidRDefault="00463D7A" w:rsidP="00463D7A"/>
    <w:p w14:paraId="3CB0591A" w14:textId="77777777" w:rsidR="00463D7A" w:rsidRDefault="00463D7A" w:rsidP="00463D7A"/>
    <w:p w14:paraId="545712A3" w14:textId="77777777" w:rsidR="00463D7A" w:rsidRDefault="00463D7A" w:rsidP="00463D7A"/>
    <w:p w14:paraId="2B72C90A" w14:textId="77777777" w:rsidR="00463D7A" w:rsidRDefault="00463D7A" w:rsidP="00463D7A"/>
    <w:p w14:paraId="6D974598" w14:textId="77777777" w:rsidR="00463D7A" w:rsidRDefault="00463D7A" w:rsidP="00463D7A"/>
    <w:p w14:paraId="5F55C490" w14:textId="77777777" w:rsidR="00463D7A" w:rsidRDefault="00463D7A" w:rsidP="00463D7A"/>
    <w:p w14:paraId="7862BB53" w14:textId="77777777" w:rsidR="00463D7A" w:rsidRDefault="00463D7A" w:rsidP="00463D7A"/>
    <w:p w14:paraId="7EB95862" w14:textId="77777777" w:rsidR="00463D7A" w:rsidRDefault="00463D7A" w:rsidP="00463D7A"/>
    <w:p w14:paraId="2780A3E9" w14:textId="77777777" w:rsidR="00463D7A" w:rsidRDefault="00463D7A" w:rsidP="00463D7A"/>
    <w:p w14:paraId="75979FED" w14:textId="77777777" w:rsidR="00612C0D" w:rsidRDefault="00612C0D">
      <w:pPr>
        <w:spacing w:after="160" w:line="259" w:lineRule="auto"/>
        <w:rPr>
          <w:rFonts w:ascii="Arial Narrow" w:eastAsiaTheme="majorEastAsia" w:hAnsi="Arial Narrow" w:cstheme="majorBidi"/>
          <w:sz w:val="28"/>
          <w:szCs w:val="28"/>
          <w:u w:val="single"/>
        </w:rPr>
      </w:pPr>
      <w:r>
        <w:rPr>
          <w:b/>
          <w:sz w:val="28"/>
          <w:szCs w:val="28"/>
          <w:u w:val="single"/>
        </w:rPr>
        <w:br w:type="page"/>
      </w:r>
    </w:p>
    <w:p w14:paraId="0D1CE250" w14:textId="141E9DC7" w:rsidR="00463D7A" w:rsidRPr="00CE3879" w:rsidRDefault="00463D7A" w:rsidP="00463D7A">
      <w:pPr>
        <w:pStyle w:val="Heading1"/>
        <w:rPr>
          <w:b w:val="0"/>
          <w:sz w:val="28"/>
          <w:szCs w:val="28"/>
          <w:u w:val="single"/>
        </w:rPr>
      </w:pPr>
      <w:r w:rsidRPr="1D797E29">
        <w:rPr>
          <w:b w:val="0"/>
          <w:sz w:val="28"/>
          <w:szCs w:val="28"/>
          <w:u w:val="single"/>
        </w:rPr>
        <w:lastRenderedPageBreak/>
        <w:t>Export controls</w:t>
      </w:r>
    </w:p>
    <w:p w14:paraId="2822C12D" w14:textId="77777777" w:rsidR="00463D7A" w:rsidRDefault="00463D7A" w:rsidP="00463D7A">
      <w:pPr>
        <w:spacing w:line="320" w:lineRule="exact"/>
        <w:jc w:val="both"/>
      </w:pPr>
    </w:p>
    <w:p w14:paraId="585991F8" w14:textId="77777777" w:rsidR="00463D7A" w:rsidRPr="00C65195" w:rsidRDefault="00463D7A" w:rsidP="00463D7A">
      <w:pPr>
        <w:spacing w:line="320" w:lineRule="exact"/>
        <w:jc w:val="both"/>
        <w:rPr>
          <w:rFonts w:eastAsia="Arial" w:cs="Arial"/>
          <w:color w:val="000000" w:themeColor="text1"/>
        </w:rPr>
      </w:pPr>
      <w:r>
        <w:t xml:space="preserve">Swamp kauri can only be exported as either a finished product or, if it isn’t from indigenous forest land, as whole or </w:t>
      </w:r>
      <w:r w:rsidRPr="1D797E29">
        <w:rPr>
          <w:rFonts w:eastAsia="Arial" w:cs="Arial"/>
          <w:color w:val="000000" w:themeColor="text1"/>
        </w:rPr>
        <w:t xml:space="preserve">sawn stumps or roots. Indigenous timber export controls are set out in Section 67C of the Act. </w:t>
      </w:r>
    </w:p>
    <w:p w14:paraId="7F41C0E4" w14:textId="77777777" w:rsidR="00463D7A" w:rsidRDefault="00463D7A" w:rsidP="00463D7A">
      <w:pPr>
        <w:spacing w:after="0" w:line="240" w:lineRule="auto"/>
        <w:jc w:val="both"/>
        <w:rPr>
          <w:rFonts w:cs="Arial"/>
        </w:rPr>
      </w:pPr>
    </w:p>
    <w:p w14:paraId="1891D6F4" w14:textId="77777777" w:rsidR="00463D7A" w:rsidRPr="005D0C62" w:rsidRDefault="00463D7A" w:rsidP="00463D7A">
      <w:pPr>
        <w:spacing w:after="0" w:line="240" w:lineRule="auto"/>
        <w:jc w:val="both"/>
        <w:rPr>
          <w:rFonts w:cs="Arial"/>
        </w:rPr>
      </w:pPr>
    </w:p>
    <w:p w14:paraId="2DF00650" w14:textId="191070EB" w:rsidR="00463D7A" w:rsidRPr="005D0C62" w:rsidRDefault="00463D7A" w:rsidP="00463D7A">
      <w:pPr>
        <w:spacing w:after="120" w:line="240" w:lineRule="auto"/>
        <w:jc w:val="both"/>
        <w:rPr>
          <w:rFonts w:eastAsia="Arial" w:cs="Arial"/>
        </w:rPr>
      </w:pPr>
      <w:r w:rsidRPr="1D797E29">
        <w:rPr>
          <w:rFonts w:eastAsia="Arial" w:cs="Arial"/>
          <w:b/>
          <w:bCs/>
        </w:rPr>
        <w:t>Table 3:</w:t>
      </w:r>
      <w:r w:rsidRPr="1D797E29">
        <w:rPr>
          <w:rFonts w:eastAsia="Arial" w:cs="Arial"/>
        </w:rPr>
        <w:t xml:space="preserve"> Notified swamp kauri export consignments for </w:t>
      </w:r>
      <w:r>
        <w:t>1 July – 30 September 2017</w:t>
      </w:r>
    </w:p>
    <w:tbl>
      <w:tblPr>
        <w:tblStyle w:val="TableGrid"/>
        <w:tblW w:w="0" w:type="auto"/>
        <w:tblLook w:val="04A0" w:firstRow="1" w:lastRow="0" w:firstColumn="1" w:lastColumn="0" w:noHBand="0" w:noVBand="1"/>
      </w:tblPr>
      <w:tblGrid>
        <w:gridCol w:w="1564"/>
        <w:gridCol w:w="2949"/>
        <w:gridCol w:w="2251"/>
        <w:gridCol w:w="2252"/>
      </w:tblGrid>
      <w:tr w:rsidR="00463D7A" w:rsidRPr="005D0C62" w14:paraId="7924FF6D" w14:textId="77777777" w:rsidTr="00EA2DE5">
        <w:tc>
          <w:tcPr>
            <w:tcW w:w="1564" w:type="dxa"/>
          </w:tcPr>
          <w:p w14:paraId="6C2F0353" w14:textId="77777777" w:rsidR="00463D7A" w:rsidRPr="005D0C62" w:rsidRDefault="00463D7A" w:rsidP="00EA2DE5">
            <w:pPr>
              <w:rPr>
                <w:rFonts w:eastAsia="Arial" w:cs="Arial"/>
                <w:b/>
                <w:bCs/>
              </w:rPr>
            </w:pPr>
            <w:r w:rsidRPr="1D797E29">
              <w:rPr>
                <w:rFonts w:eastAsia="Arial" w:cs="Arial"/>
                <w:b/>
                <w:bCs/>
              </w:rPr>
              <w:t>Destination</w:t>
            </w:r>
          </w:p>
        </w:tc>
        <w:tc>
          <w:tcPr>
            <w:tcW w:w="2949" w:type="dxa"/>
          </w:tcPr>
          <w:p w14:paraId="629F864E" w14:textId="77777777" w:rsidR="00463D7A" w:rsidRPr="005D0C62" w:rsidRDefault="00463D7A" w:rsidP="00EA2DE5">
            <w:pPr>
              <w:jc w:val="center"/>
              <w:rPr>
                <w:rFonts w:eastAsia="Arial" w:cs="Arial"/>
                <w:b/>
                <w:bCs/>
              </w:rPr>
            </w:pPr>
            <w:r w:rsidRPr="1D797E29">
              <w:rPr>
                <w:rFonts w:eastAsia="Arial" w:cs="Arial"/>
                <w:b/>
                <w:bCs/>
              </w:rPr>
              <w:t>Number of exports approved</w:t>
            </w:r>
          </w:p>
        </w:tc>
        <w:tc>
          <w:tcPr>
            <w:tcW w:w="2251" w:type="dxa"/>
          </w:tcPr>
          <w:p w14:paraId="1CF0419E" w14:textId="77777777" w:rsidR="00463D7A" w:rsidRPr="005D0C62" w:rsidRDefault="00463D7A" w:rsidP="00EA2DE5">
            <w:pPr>
              <w:jc w:val="center"/>
              <w:rPr>
                <w:rFonts w:eastAsia="Arial" w:cs="Arial"/>
                <w:b/>
                <w:bCs/>
              </w:rPr>
            </w:pPr>
            <w:r w:rsidRPr="1D797E29">
              <w:rPr>
                <w:rFonts w:eastAsia="Arial" w:cs="Arial"/>
                <w:b/>
                <w:bCs/>
              </w:rPr>
              <w:t>Number of export inspections</w:t>
            </w:r>
          </w:p>
        </w:tc>
        <w:tc>
          <w:tcPr>
            <w:tcW w:w="2252" w:type="dxa"/>
          </w:tcPr>
          <w:p w14:paraId="481217B9" w14:textId="77777777" w:rsidR="00463D7A" w:rsidRPr="005D0C62" w:rsidRDefault="00463D7A" w:rsidP="00EA2DE5">
            <w:pPr>
              <w:jc w:val="center"/>
              <w:rPr>
                <w:rFonts w:eastAsia="Arial" w:cs="Arial"/>
                <w:b/>
                <w:bCs/>
              </w:rPr>
            </w:pPr>
            <w:r w:rsidRPr="1D797E29">
              <w:rPr>
                <w:rFonts w:eastAsia="Arial" w:cs="Arial"/>
                <w:b/>
                <w:bCs/>
              </w:rPr>
              <w:t>Volume exported</w:t>
            </w:r>
          </w:p>
        </w:tc>
      </w:tr>
      <w:tr w:rsidR="00C13C98" w:rsidRPr="005D0C62" w14:paraId="1ED0288F" w14:textId="77777777" w:rsidTr="00EA2DE5">
        <w:tc>
          <w:tcPr>
            <w:tcW w:w="1564" w:type="dxa"/>
            <w:vAlign w:val="bottom"/>
          </w:tcPr>
          <w:p w14:paraId="1B67F608" w14:textId="178A0B9B" w:rsidR="00C13C98" w:rsidRPr="00B202B8" w:rsidRDefault="00C13C98" w:rsidP="00C13C98">
            <w:pPr>
              <w:rPr>
                <w:rFonts w:eastAsia="Arial" w:cs="Arial"/>
              </w:rPr>
            </w:pPr>
            <w:r>
              <w:rPr>
                <w:rFonts w:eastAsia="Arial" w:cs="Arial"/>
              </w:rPr>
              <w:t>Canada</w:t>
            </w:r>
          </w:p>
        </w:tc>
        <w:tc>
          <w:tcPr>
            <w:tcW w:w="2949" w:type="dxa"/>
            <w:vAlign w:val="bottom"/>
          </w:tcPr>
          <w:p w14:paraId="7E564713" w14:textId="05F1E3A3" w:rsidR="00C13C98" w:rsidRPr="00B202B8" w:rsidRDefault="00C13C98" w:rsidP="00C13C98">
            <w:pPr>
              <w:jc w:val="center"/>
              <w:rPr>
                <w:rFonts w:eastAsia="Arial" w:cs="Arial"/>
              </w:rPr>
            </w:pPr>
            <w:r>
              <w:rPr>
                <w:rFonts w:eastAsia="Arial" w:cs="Arial"/>
              </w:rPr>
              <w:t>1</w:t>
            </w:r>
          </w:p>
        </w:tc>
        <w:tc>
          <w:tcPr>
            <w:tcW w:w="2251" w:type="dxa"/>
            <w:vAlign w:val="bottom"/>
          </w:tcPr>
          <w:p w14:paraId="4EF1B09E" w14:textId="27986C8C" w:rsidR="00C13C98" w:rsidRPr="00B202B8" w:rsidRDefault="00C13C98" w:rsidP="00C13C98">
            <w:pPr>
              <w:jc w:val="center"/>
              <w:rPr>
                <w:rFonts w:eastAsia="Arial" w:cs="Arial"/>
              </w:rPr>
            </w:pPr>
            <w:r>
              <w:rPr>
                <w:rFonts w:eastAsia="Arial" w:cs="Arial"/>
              </w:rPr>
              <w:t>1</w:t>
            </w:r>
          </w:p>
        </w:tc>
        <w:tc>
          <w:tcPr>
            <w:tcW w:w="2252" w:type="dxa"/>
            <w:vAlign w:val="bottom"/>
          </w:tcPr>
          <w:p w14:paraId="29117C09" w14:textId="14A1C173" w:rsidR="00C13C98" w:rsidRPr="00B202B8" w:rsidRDefault="00C13C98" w:rsidP="00C13C98">
            <w:pPr>
              <w:jc w:val="center"/>
              <w:rPr>
                <w:rFonts w:eastAsia="Arial" w:cs="Arial"/>
              </w:rPr>
            </w:pPr>
            <w:r>
              <w:rPr>
                <w:rFonts w:eastAsia="Arial" w:cs="Arial"/>
              </w:rPr>
              <w:t>0.186</w:t>
            </w:r>
            <w:r w:rsidRPr="00B202B8">
              <w:rPr>
                <w:rFonts w:eastAsia="Arial" w:cs="Arial"/>
              </w:rPr>
              <w:t xml:space="preserve"> m</w:t>
            </w:r>
            <w:r w:rsidRPr="00B202B8">
              <w:rPr>
                <w:rFonts w:eastAsia="Arial" w:cs="Arial"/>
                <w:vertAlign w:val="superscript"/>
              </w:rPr>
              <w:t>3</w:t>
            </w:r>
          </w:p>
        </w:tc>
      </w:tr>
      <w:tr w:rsidR="00C13C98" w:rsidRPr="005D0C62" w14:paraId="73FD8C28" w14:textId="77777777" w:rsidTr="00EA2DE5">
        <w:tc>
          <w:tcPr>
            <w:tcW w:w="1564" w:type="dxa"/>
            <w:vAlign w:val="bottom"/>
          </w:tcPr>
          <w:p w14:paraId="706D5D25" w14:textId="19FDFF9D" w:rsidR="00C13C98" w:rsidRPr="00B202B8" w:rsidRDefault="00C13C98" w:rsidP="00C13C98">
            <w:pPr>
              <w:rPr>
                <w:rFonts w:eastAsia="Arial" w:cs="Arial"/>
              </w:rPr>
            </w:pPr>
            <w:r w:rsidRPr="00B202B8">
              <w:rPr>
                <w:rFonts w:eastAsia="Arial" w:cs="Arial"/>
              </w:rPr>
              <w:t>China</w:t>
            </w:r>
          </w:p>
        </w:tc>
        <w:tc>
          <w:tcPr>
            <w:tcW w:w="2949" w:type="dxa"/>
            <w:vAlign w:val="bottom"/>
          </w:tcPr>
          <w:p w14:paraId="2E9B45A9" w14:textId="7441ECF0" w:rsidR="00C13C98" w:rsidRPr="00B202B8" w:rsidRDefault="00C13C98" w:rsidP="00C13C98">
            <w:pPr>
              <w:jc w:val="center"/>
              <w:rPr>
                <w:rFonts w:eastAsia="Arial" w:cs="Arial"/>
              </w:rPr>
            </w:pPr>
            <w:r>
              <w:rPr>
                <w:rFonts w:eastAsia="Arial" w:cs="Arial"/>
              </w:rPr>
              <w:t>1</w:t>
            </w:r>
          </w:p>
        </w:tc>
        <w:tc>
          <w:tcPr>
            <w:tcW w:w="2251" w:type="dxa"/>
            <w:vAlign w:val="bottom"/>
          </w:tcPr>
          <w:p w14:paraId="15CC298E" w14:textId="1D88F0C8" w:rsidR="00C13C98" w:rsidRPr="00B202B8" w:rsidRDefault="00C13C98" w:rsidP="00C13C98">
            <w:pPr>
              <w:jc w:val="center"/>
              <w:rPr>
                <w:rFonts w:eastAsia="Arial" w:cs="Arial"/>
              </w:rPr>
            </w:pPr>
            <w:r>
              <w:rPr>
                <w:rFonts w:eastAsia="Arial" w:cs="Arial"/>
              </w:rPr>
              <w:t>1</w:t>
            </w:r>
          </w:p>
        </w:tc>
        <w:tc>
          <w:tcPr>
            <w:tcW w:w="2252" w:type="dxa"/>
            <w:vAlign w:val="bottom"/>
          </w:tcPr>
          <w:p w14:paraId="5462F929" w14:textId="1A63F409" w:rsidR="00C13C98" w:rsidRPr="00B202B8" w:rsidRDefault="00C13C98" w:rsidP="00C13C98">
            <w:pPr>
              <w:jc w:val="center"/>
              <w:rPr>
                <w:rFonts w:eastAsia="Arial" w:cs="Arial"/>
              </w:rPr>
            </w:pPr>
            <w:r>
              <w:rPr>
                <w:rFonts w:eastAsia="Arial" w:cs="Arial"/>
              </w:rPr>
              <w:t>5.95</w:t>
            </w:r>
            <w:r w:rsidRPr="00B202B8">
              <w:rPr>
                <w:rFonts w:eastAsia="Arial" w:cs="Arial"/>
              </w:rPr>
              <w:t xml:space="preserve"> m</w:t>
            </w:r>
            <w:r w:rsidRPr="00B202B8">
              <w:rPr>
                <w:rFonts w:eastAsia="Arial" w:cs="Arial"/>
                <w:vertAlign w:val="superscript"/>
              </w:rPr>
              <w:t>3</w:t>
            </w:r>
          </w:p>
        </w:tc>
      </w:tr>
      <w:tr w:rsidR="00C13C98" w:rsidRPr="005D0C62" w14:paraId="7E63505E" w14:textId="77777777" w:rsidTr="00EA2DE5">
        <w:tc>
          <w:tcPr>
            <w:tcW w:w="1564" w:type="dxa"/>
            <w:vAlign w:val="bottom"/>
          </w:tcPr>
          <w:p w14:paraId="2B00853E" w14:textId="0E90B220" w:rsidR="00C13C98" w:rsidRDefault="00C13C98" w:rsidP="00C13C98">
            <w:pPr>
              <w:rPr>
                <w:rFonts w:eastAsia="Arial" w:cs="Arial"/>
              </w:rPr>
            </w:pPr>
            <w:r w:rsidRPr="00B202B8">
              <w:rPr>
                <w:rFonts w:eastAsia="Arial" w:cs="Arial"/>
              </w:rPr>
              <w:t>Italy</w:t>
            </w:r>
          </w:p>
        </w:tc>
        <w:tc>
          <w:tcPr>
            <w:tcW w:w="2949" w:type="dxa"/>
            <w:vAlign w:val="bottom"/>
          </w:tcPr>
          <w:p w14:paraId="4E045E6F" w14:textId="202B9738" w:rsidR="00C13C98" w:rsidRPr="00B202B8" w:rsidRDefault="00C13C98" w:rsidP="00C13C98">
            <w:pPr>
              <w:jc w:val="center"/>
              <w:rPr>
                <w:rFonts w:eastAsia="Arial" w:cs="Arial"/>
              </w:rPr>
            </w:pPr>
            <w:r>
              <w:rPr>
                <w:rFonts w:eastAsia="Arial" w:cs="Arial"/>
              </w:rPr>
              <w:t>2</w:t>
            </w:r>
          </w:p>
        </w:tc>
        <w:tc>
          <w:tcPr>
            <w:tcW w:w="2251" w:type="dxa"/>
            <w:vAlign w:val="bottom"/>
          </w:tcPr>
          <w:p w14:paraId="18A7AA09" w14:textId="2989EBCB" w:rsidR="00C13C98" w:rsidRPr="00B202B8" w:rsidRDefault="00C13C98" w:rsidP="00C13C98">
            <w:pPr>
              <w:jc w:val="center"/>
              <w:rPr>
                <w:rFonts w:eastAsia="Arial" w:cs="Arial"/>
              </w:rPr>
            </w:pPr>
            <w:r>
              <w:rPr>
                <w:rFonts w:eastAsia="Arial" w:cs="Arial"/>
              </w:rPr>
              <w:t>2</w:t>
            </w:r>
          </w:p>
        </w:tc>
        <w:tc>
          <w:tcPr>
            <w:tcW w:w="2252" w:type="dxa"/>
            <w:vAlign w:val="bottom"/>
          </w:tcPr>
          <w:p w14:paraId="7332C959" w14:textId="280CA01C" w:rsidR="00C13C98" w:rsidRDefault="00C13C98" w:rsidP="00C13C98">
            <w:pPr>
              <w:jc w:val="center"/>
              <w:rPr>
                <w:rFonts w:eastAsia="Arial" w:cs="Arial"/>
              </w:rPr>
            </w:pPr>
            <w:r>
              <w:rPr>
                <w:rFonts w:eastAsia="Arial" w:cs="Arial"/>
              </w:rPr>
              <w:t>13.73</w:t>
            </w:r>
            <w:r w:rsidRPr="00B202B8">
              <w:rPr>
                <w:rFonts w:eastAsia="Arial" w:cs="Arial"/>
              </w:rPr>
              <w:t xml:space="preserve"> m</w:t>
            </w:r>
            <w:r w:rsidRPr="00B202B8">
              <w:rPr>
                <w:rFonts w:eastAsia="Arial" w:cs="Arial"/>
                <w:vertAlign w:val="superscript"/>
              </w:rPr>
              <w:t>3</w:t>
            </w:r>
          </w:p>
        </w:tc>
      </w:tr>
      <w:tr w:rsidR="00C13C98" w:rsidRPr="005D0C62" w14:paraId="334A4717" w14:textId="77777777" w:rsidTr="00EA2DE5">
        <w:tc>
          <w:tcPr>
            <w:tcW w:w="1564" w:type="dxa"/>
            <w:vAlign w:val="bottom"/>
          </w:tcPr>
          <w:p w14:paraId="32B0ADC6" w14:textId="367069E5" w:rsidR="00C13C98" w:rsidRPr="00B202B8" w:rsidRDefault="00C13C98" w:rsidP="00C13C98">
            <w:pPr>
              <w:rPr>
                <w:rFonts w:eastAsia="Arial" w:cs="Arial"/>
              </w:rPr>
            </w:pPr>
            <w:r>
              <w:rPr>
                <w:rFonts w:eastAsia="Arial" w:cs="Arial"/>
              </w:rPr>
              <w:t>Korea</w:t>
            </w:r>
          </w:p>
        </w:tc>
        <w:tc>
          <w:tcPr>
            <w:tcW w:w="2949" w:type="dxa"/>
            <w:vAlign w:val="bottom"/>
          </w:tcPr>
          <w:p w14:paraId="3F0744C5" w14:textId="7C4457DB" w:rsidR="00C13C98" w:rsidRPr="00B202B8" w:rsidRDefault="00C13C98" w:rsidP="00C13C98">
            <w:pPr>
              <w:jc w:val="center"/>
              <w:rPr>
                <w:rFonts w:eastAsia="Arial" w:cs="Arial"/>
              </w:rPr>
            </w:pPr>
            <w:r>
              <w:rPr>
                <w:rFonts w:eastAsia="Arial" w:cs="Arial"/>
              </w:rPr>
              <w:t>1</w:t>
            </w:r>
          </w:p>
        </w:tc>
        <w:tc>
          <w:tcPr>
            <w:tcW w:w="2251" w:type="dxa"/>
            <w:vAlign w:val="bottom"/>
          </w:tcPr>
          <w:p w14:paraId="14E60A1E" w14:textId="2B279AFF" w:rsidR="00C13C98" w:rsidRPr="00B202B8" w:rsidRDefault="00C13C98" w:rsidP="00C13C98">
            <w:pPr>
              <w:jc w:val="center"/>
              <w:rPr>
                <w:rFonts w:eastAsia="Arial" w:cs="Arial"/>
              </w:rPr>
            </w:pPr>
            <w:r>
              <w:rPr>
                <w:rFonts w:eastAsia="Arial" w:cs="Arial"/>
              </w:rPr>
              <w:t>1</w:t>
            </w:r>
          </w:p>
        </w:tc>
        <w:tc>
          <w:tcPr>
            <w:tcW w:w="2252" w:type="dxa"/>
            <w:vAlign w:val="bottom"/>
          </w:tcPr>
          <w:p w14:paraId="581EDE7D" w14:textId="7255D643" w:rsidR="00C13C98" w:rsidRPr="00B202B8" w:rsidRDefault="00C13C98" w:rsidP="00C13C98">
            <w:pPr>
              <w:jc w:val="center"/>
              <w:rPr>
                <w:rFonts w:eastAsia="Arial" w:cs="Arial"/>
              </w:rPr>
            </w:pPr>
            <w:r>
              <w:rPr>
                <w:rFonts w:eastAsia="Arial" w:cs="Arial"/>
              </w:rPr>
              <w:t>18.07</w:t>
            </w:r>
            <w:r w:rsidRPr="00B202B8">
              <w:rPr>
                <w:rFonts w:eastAsia="Arial" w:cs="Arial"/>
              </w:rPr>
              <w:t xml:space="preserve"> m</w:t>
            </w:r>
            <w:r w:rsidRPr="00B202B8">
              <w:rPr>
                <w:rFonts w:eastAsia="Arial" w:cs="Arial"/>
                <w:vertAlign w:val="superscript"/>
              </w:rPr>
              <w:t>3</w:t>
            </w:r>
          </w:p>
        </w:tc>
      </w:tr>
      <w:tr w:rsidR="00C13C98" w:rsidRPr="005D0C62" w14:paraId="113ADA38" w14:textId="77777777" w:rsidTr="00EA2DE5">
        <w:tc>
          <w:tcPr>
            <w:tcW w:w="1564" w:type="dxa"/>
            <w:vAlign w:val="bottom"/>
          </w:tcPr>
          <w:p w14:paraId="4396037D" w14:textId="1E1D1727" w:rsidR="00C13C98" w:rsidRPr="00B202B8" w:rsidRDefault="00C13C98" w:rsidP="00C13C98">
            <w:pPr>
              <w:rPr>
                <w:rFonts w:eastAsia="Arial" w:cs="Arial"/>
              </w:rPr>
            </w:pPr>
            <w:r>
              <w:rPr>
                <w:rFonts w:eastAsia="Arial" w:cs="Arial"/>
              </w:rPr>
              <w:t>Taiwan</w:t>
            </w:r>
          </w:p>
        </w:tc>
        <w:tc>
          <w:tcPr>
            <w:tcW w:w="2949" w:type="dxa"/>
            <w:vAlign w:val="bottom"/>
          </w:tcPr>
          <w:p w14:paraId="6D10ACD9" w14:textId="20A3C339" w:rsidR="00C13C98" w:rsidRPr="00B202B8" w:rsidRDefault="00C13C98" w:rsidP="00C13C98">
            <w:pPr>
              <w:jc w:val="center"/>
              <w:rPr>
                <w:rFonts w:eastAsia="Arial" w:cs="Arial"/>
              </w:rPr>
            </w:pPr>
            <w:r>
              <w:rPr>
                <w:rFonts w:eastAsia="Arial" w:cs="Arial"/>
              </w:rPr>
              <w:t>2</w:t>
            </w:r>
          </w:p>
        </w:tc>
        <w:tc>
          <w:tcPr>
            <w:tcW w:w="2251" w:type="dxa"/>
            <w:vAlign w:val="bottom"/>
          </w:tcPr>
          <w:p w14:paraId="33C3E3E3" w14:textId="2971F0B8" w:rsidR="00C13C98" w:rsidRPr="00B202B8" w:rsidRDefault="00C13C98" w:rsidP="00C13C98">
            <w:pPr>
              <w:jc w:val="center"/>
              <w:rPr>
                <w:rFonts w:eastAsia="Arial" w:cs="Arial"/>
              </w:rPr>
            </w:pPr>
            <w:r>
              <w:rPr>
                <w:rFonts w:eastAsia="Arial" w:cs="Arial"/>
              </w:rPr>
              <w:t>2</w:t>
            </w:r>
          </w:p>
        </w:tc>
        <w:tc>
          <w:tcPr>
            <w:tcW w:w="2252" w:type="dxa"/>
            <w:vAlign w:val="bottom"/>
          </w:tcPr>
          <w:p w14:paraId="7D0A5A65" w14:textId="6F7AC809" w:rsidR="00C13C98" w:rsidRPr="00B202B8" w:rsidRDefault="00C13C98" w:rsidP="00C13C98">
            <w:pPr>
              <w:jc w:val="center"/>
              <w:rPr>
                <w:rFonts w:eastAsia="Arial" w:cs="Arial"/>
              </w:rPr>
            </w:pPr>
            <w:r>
              <w:rPr>
                <w:rFonts w:eastAsia="Arial" w:cs="Arial"/>
              </w:rPr>
              <w:t>20.8</w:t>
            </w:r>
            <w:r w:rsidRPr="00B202B8">
              <w:rPr>
                <w:rFonts w:eastAsia="Arial" w:cs="Arial"/>
              </w:rPr>
              <w:t xml:space="preserve"> m</w:t>
            </w:r>
            <w:r w:rsidRPr="00B202B8">
              <w:rPr>
                <w:rFonts w:eastAsia="Arial" w:cs="Arial"/>
                <w:vertAlign w:val="superscript"/>
              </w:rPr>
              <w:t>3</w:t>
            </w:r>
          </w:p>
        </w:tc>
      </w:tr>
      <w:tr w:rsidR="00C13C98" w:rsidRPr="005D0C62" w14:paraId="7F6F761A" w14:textId="77777777" w:rsidTr="00EA2DE5">
        <w:tc>
          <w:tcPr>
            <w:tcW w:w="1564" w:type="dxa"/>
            <w:tcBorders>
              <w:left w:val="nil"/>
              <w:bottom w:val="nil"/>
            </w:tcBorders>
          </w:tcPr>
          <w:p w14:paraId="19D23DD5" w14:textId="77777777" w:rsidR="00C13C98" w:rsidRPr="00B202B8" w:rsidRDefault="00C13C98" w:rsidP="00C13C98">
            <w:pPr>
              <w:rPr>
                <w:rFonts w:eastAsia="Arial" w:cs="Arial"/>
                <w:i/>
                <w:iCs/>
              </w:rPr>
            </w:pPr>
            <w:r w:rsidRPr="00B202B8">
              <w:rPr>
                <w:rFonts w:eastAsia="Arial" w:cs="Arial"/>
                <w:b/>
                <w:bCs/>
              </w:rPr>
              <w:t>Total</w:t>
            </w:r>
          </w:p>
        </w:tc>
        <w:tc>
          <w:tcPr>
            <w:tcW w:w="2949" w:type="dxa"/>
            <w:vAlign w:val="bottom"/>
          </w:tcPr>
          <w:p w14:paraId="319AE3A7" w14:textId="6F15A4BC" w:rsidR="00C13C98" w:rsidRPr="00C13C98" w:rsidDel="00614AD7" w:rsidRDefault="00C13C98" w:rsidP="00C13C98">
            <w:pPr>
              <w:jc w:val="center"/>
              <w:rPr>
                <w:rFonts w:cs="Arial"/>
                <w:b/>
              </w:rPr>
            </w:pPr>
            <w:r w:rsidRPr="00C13C98">
              <w:rPr>
                <w:rFonts w:cs="Arial"/>
                <w:b/>
              </w:rPr>
              <w:t>7</w:t>
            </w:r>
          </w:p>
        </w:tc>
        <w:tc>
          <w:tcPr>
            <w:tcW w:w="2251" w:type="dxa"/>
            <w:vAlign w:val="bottom"/>
          </w:tcPr>
          <w:p w14:paraId="1E1C5E41" w14:textId="132C92A5" w:rsidR="00C13C98" w:rsidRPr="00C13C98" w:rsidDel="00614AD7" w:rsidRDefault="00C13C98" w:rsidP="00C13C98">
            <w:pPr>
              <w:jc w:val="center"/>
              <w:rPr>
                <w:rFonts w:cs="Arial"/>
                <w:b/>
              </w:rPr>
            </w:pPr>
            <w:r w:rsidRPr="00C13C98">
              <w:rPr>
                <w:rFonts w:cs="Arial"/>
                <w:b/>
              </w:rPr>
              <w:t>7</w:t>
            </w:r>
          </w:p>
        </w:tc>
        <w:tc>
          <w:tcPr>
            <w:tcW w:w="2252" w:type="dxa"/>
            <w:vAlign w:val="bottom"/>
          </w:tcPr>
          <w:p w14:paraId="41589C42" w14:textId="117D880A" w:rsidR="00C13C98" w:rsidRPr="00C13C98" w:rsidRDefault="00C13C98" w:rsidP="00C13C98">
            <w:pPr>
              <w:jc w:val="center"/>
              <w:rPr>
                <w:rFonts w:eastAsia="Arial" w:cs="Arial"/>
                <w:b/>
              </w:rPr>
            </w:pPr>
            <w:r w:rsidRPr="00C13C98">
              <w:rPr>
                <w:rFonts w:eastAsia="Arial" w:cs="Arial"/>
                <w:b/>
              </w:rPr>
              <w:t>58.74 m</w:t>
            </w:r>
            <w:r w:rsidRPr="00C13C98">
              <w:rPr>
                <w:rFonts w:eastAsia="Arial" w:cs="Arial"/>
                <w:b/>
                <w:vertAlign w:val="superscript"/>
              </w:rPr>
              <w:t>3</w:t>
            </w:r>
          </w:p>
        </w:tc>
      </w:tr>
    </w:tbl>
    <w:p w14:paraId="7212B363" w14:textId="7639273A" w:rsidR="00463D7A" w:rsidRDefault="00463D7A" w:rsidP="00463D7A">
      <w:pPr>
        <w:spacing w:after="160" w:line="259" w:lineRule="auto"/>
      </w:pPr>
    </w:p>
    <w:p w14:paraId="5278C530" w14:textId="34F1C7B4" w:rsidR="00463D7A" w:rsidRDefault="00463D7A" w:rsidP="00463D7A">
      <w:pPr>
        <w:spacing w:after="160" w:line="259" w:lineRule="auto"/>
      </w:pPr>
    </w:p>
    <w:p w14:paraId="7E31B5C0" w14:textId="7BE3B7D5" w:rsidR="00463D7A" w:rsidRDefault="00182759" w:rsidP="00463D7A">
      <w:pPr>
        <w:spacing w:after="0" w:line="360" w:lineRule="auto"/>
        <w:jc w:val="center"/>
        <w:rPr>
          <w:b/>
          <w:bCs/>
          <w:sz w:val="20"/>
          <w:szCs w:val="20"/>
        </w:rPr>
      </w:pPr>
      <w:r>
        <w:rPr>
          <w:noProof/>
          <w:lang w:eastAsia="en-NZ"/>
        </w:rPr>
        <w:drawing>
          <wp:inline distT="0" distB="0" distL="0" distR="0" wp14:anchorId="1E8D00E8" wp14:editId="6A104E14">
            <wp:extent cx="5058000" cy="2466000"/>
            <wp:effectExtent l="0" t="0" r="9525" b="1079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42604C1" w14:textId="77777777" w:rsidR="00C13C98" w:rsidRDefault="00C13C98" w:rsidP="00463D7A">
      <w:pPr>
        <w:spacing w:after="0" w:line="360" w:lineRule="auto"/>
        <w:jc w:val="center"/>
        <w:rPr>
          <w:b/>
          <w:bCs/>
          <w:sz w:val="20"/>
          <w:szCs w:val="20"/>
        </w:rPr>
      </w:pPr>
    </w:p>
    <w:p w14:paraId="5416757E" w14:textId="77777777" w:rsidR="00463D7A" w:rsidRDefault="00463D7A" w:rsidP="00463D7A">
      <w:pPr>
        <w:spacing w:after="0" w:line="360" w:lineRule="auto"/>
        <w:jc w:val="center"/>
        <w:rPr>
          <w:sz w:val="20"/>
          <w:szCs w:val="20"/>
        </w:rPr>
      </w:pPr>
      <w:r w:rsidRPr="1D797E29">
        <w:rPr>
          <w:b/>
          <w:bCs/>
          <w:sz w:val="20"/>
          <w:szCs w:val="20"/>
        </w:rPr>
        <w:t>Figure 1:</w:t>
      </w:r>
      <w:r w:rsidRPr="1D797E29">
        <w:rPr>
          <w:sz w:val="20"/>
          <w:szCs w:val="20"/>
        </w:rPr>
        <w:t xml:space="preserve"> Swamp kauri export volumes for Quarter </w:t>
      </w:r>
      <w:r>
        <w:rPr>
          <w:sz w:val="20"/>
          <w:szCs w:val="20"/>
        </w:rPr>
        <w:t>3</w:t>
      </w:r>
      <w:r w:rsidRPr="1D797E29">
        <w:rPr>
          <w:sz w:val="20"/>
          <w:szCs w:val="20"/>
        </w:rPr>
        <w:t xml:space="preserve"> (1 </w:t>
      </w:r>
      <w:r>
        <w:rPr>
          <w:sz w:val="20"/>
          <w:szCs w:val="20"/>
        </w:rPr>
        <w:t>July</w:t>
      </w:r>
      <w:r w:rsidRPr="1D797E29">
        <w:rPr>
          <w:sz w:val="20"/>
          <w:szCs w:val="20"/>
        </w:rPr>
        <w:t xml:space="preserve"> – 30 </w:t>
      </w:r>
      <w:r>
        <w:rPr>
          <w:sz w:val="20"/>
          <w:szCs w:val="20"/>
        </w:rPr>
        <w:t>September</w:t>
      </w:r>
      <w:r w:rsidRPr="1D797E29">
        <w:rPr>
          <w:sz w:val="20"/>
          <w:szCs w:val="20"/>
        </w:rPr>
        <w:t>), 2010 – 2017.</w:t>
      </w:r>
    </w:p>
    <w:p w14:paraId="78914B19" w14:textId="77777777" w:rsidR="00463D7A" w:rsidRDefault="00463D7A" w:rsidP="00463D7A">
      <w:pPr>
        <w:spacing w:line="360" w:lineRule="auto"/>
        <w:rPr>
          <w:sz w:val="20"/>
          <w:szCs w:val="20"/>
        </w:rPr>
      </w:pPr>
    </w:p>
    <w:p w14:paraId="78FAF105" w14:textId="77777777" w:rsidR="00463D7A" w:rsidRDefault="00463D7A" w:rsidP="00463D7A">
      <w:pPr>
        <w:rPr>
          <w:sz w:val="20"/>
          <w:szCs w:val="20"/>
        </w:rPr>
        <w:sectPr w:rsidR="00463D7A" w:rsidSect="00785A9E">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pPr>
    </w:p>
    <w:p w14:paraId="4DFD3F3B" w14:textId="38378397" w:rsidR="00463D7A" w:rsidRDefault="00182759" w:rsidP="00463D7A">
      <w:pPr>
        <w:jc w:val="center"/>
        <w:rPr>
          <w:b/>
          <w:sz w:val="20"/>
          <w:szCs w:val="20"/>
        </w:rPr>
      </w:pPr>
      <w:r>
        <w:rPr>
          <w:noProof/>
          <w:lang w:eastAsia="en-NZ"/>
        </w:rPr>
        <w:lastRenderedPageBreak/>
        <w:drawing>
          <wp:anchor distT="0" distB="0" distL="114300" distR="114300" simplePos="0" relativeHeight="251652608" behindDoc="0" locked="0" layoutInCell="1" allowOverlap="1" wp14:anchorId="3D1C4E08" wp14:editId="6CB00833">
            <wp:simplePos x="0" y="0"/>
            <wp:positionH relativeFrom="margin">
              <wp:align>center</wp:align>
            </wp:positionH>
            <wp:positionV relativeFrom="paragraph">
              <wp:posOffset>225401</wp:posOffset>
            </wp:positionV>
            <wp:extent cx="9525000" cy="3733165"/>
            <wp:effectExtent l="0" t="0" r="0" b="635"/>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076FA25D" w14:textId="77777777" w:rsidR="00463D7A" w:rsidRDefault="00463D7A" w:rsidP="00463D7A">
      <w:pPr>
        <w:jc w:val="center"/>
        <w:rPr>
          <w:b/>
          <w:bCs/>
          <w:sz w:val="20"/>
          <w:szCs w:val="20"/>
        </w:rPr>
      </w:pPr>
    </w:p>
    <w:p w14:paraId="60B47AC9" w14:textId="68A4EEC8" w:rsidR="00463D7A" w:rsidRPr="00907025" w:rsidRDefault="00463D7A" w:rsidP="00463D7A">
      <w:pPr>
        <w:jc w:val="center"/>
        <w:rPr>
          <w:sz w:val="20"/>
          <w:szCs w:val="20"/>
        </w:rPr>
      </w:pPr>
      <w:r w:rsidRPr="1D797E29">
        <w:rPr>
          <w:b/>
          <w:bCs/>
          <w:sz w:val="20"/>
          <w:szCs w:val="20"/>
        </w:rPr>
        <w:t>Figure 2:</w:t>
      </w:r>
      <w:r w:rsidRPr="1D797E29">
        <w:rPr>
          <w:sz w:val="20"/>
          <w:szCs w:val="20"/>
        </w:rPr>
        <w:t xml:space="preserve"> Monthly swamp kauri export volumes, 2010 – 2017 (trend: three point moving average).</w:t>
      </w:r>
    </w:p>
    <w:p w14:paraId="06D76949" w14:textId="77777777" w:rsidR="00463D7A" w:rsidRDefault="00463D7A"/>
    <w:sectPr w:rsidR="00463D7A" w:rsidSect="00463D7A">
      <w:headerReference w:type="default" r:id="rId17"/>
      <w:foot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B45BE" w14:textId="77777777" w:rsidR="00463D7A" w:rsidRDefault="00463D7A" w:rsidP="00463D7A">
      <w:pPr>
        <w:spacing w:after="0" w:line="240" w:lineRule="auto"/>
      </w:pPr>
      <w:r>
        <w:separator/>
      </w:r>
    </w:p>
  </w:endnote>
  <w:endnote w:type="continuationSeparator" w:id="0">
    <w:p w14:paraId="1030349D" w14:textId="77777777" w:rsidR="00463D7A" w:rsidRDefault="00463D7A" w:rsidP="00463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572C8" w14:textId="7CC8112C" w:rsidR="00463D7A" w:rsidRPr="0074042E" w:rsidRDefault="00463D7A" w:rsidP="1D797E29">
    <w:pPr>
      <w:pBdr>
        <w:top w:val="single" w:sz="4" w:space="1" w:color="auto"/>
      </w:pBdr>
      <w:tabs>
        <w:tab w:val="center" w:pos="4513"/>
        <w:tab w:val="right" w:pos="9026"/>
      </w:tabs>
      <w:spacing w:after="0" w:line="240" w:lineRule="auto"/>
      <w:rPr>
        <w:rFonts w:ascii="Arial Narrow" w:eastAsia="Arial Narrow" w:hAnsi="Arial Narrow" w:cs="Arial Narrow"/>
        <w:sz w:val="18"/>
        <w:szCs w:val="18"/>
      </w:rPr>
    </w:pPr>
    <w:r w:rsidRPr="1D797E29">
      <w:rPr>
        <w:rFonts w:ascii="Arial Narrow" w:eastAsia="Arial Narrow" w:hAnsi="Arial Narrow" w:cs="Arial Narrow"/>
        <w:noProof/>
        <w:sz w:val="18"/>
        <w:szCs w:val="18"/>
      </w:rPr>
      <w:fldChar w:fldCharType="begin"/>
    </w:r>
    <w:r w:rsidRPr="0074042E">
      <w:rPr>
        <w:rFonts w:ascii="Arial Narrow" w:hAnsi="Arial Narrow"/>
        <w:sz w:val="18"/>
        <w:szCs w:val="18"/>
      </w:rPr>
      <w:instrText xml:space="preserve"> PAGE   \* MERGEFORMAT </w:instrText>
    </w:r>
    <w:r w:rsidRPr="1D797E29">
      <w:rPr>
        <w:rFonts w:ascii="Arial Narrow" w:hAnsi="Arial Narrow"/>
        <w:sz w:val="18"/>
        <w:szCs w:val="18"/>
      </w:rPr>
      <w:fldChar w:fldCharType="separate"/>
    </w:r>
    <w:r w:rsidR="006300BB" w:rsidRPr="006300BB">
      <w:rPr>
        <w:rFonts w:ascii="Arial Narrow" w:eastAsia="Arial Narrow" w:hAnsi="Arial Narrow" w:cs="Arial Narrow"/>
        <w:noProof/>
        <w:sz w:val="18"/>
        <w:szCs w:val="18"/>
      </w:rPr>
      <w:t>2</w:t>
    </w:r>
    <w:r w:rsidRPr="1D797E29">
      <w:rPr>
        <w:rFonts w:ascii="Arial Narrow" w:eastAsia="Arial Narrow" w:hAnsi="Arial Narrow" w:cs="Arial Narrow"/>
        <w:noProof/>
        <w:sz w:val="18"/>
        <w:szCs w:val="18"/>
      </w:rPr>
      <w:fldChar w:fldCharType="end"/>
    </w:r>
    <w:r w:rsidRPr="1D797E29">
      <w:rPr>
        <w:rFonts w:ascii="Arial Narrow" w:eastAsia="Arial Narrow" w:hAnsi="Arial Narrow" w:cs="Arial Narrow"/>
        <w:noProof/>
        <w:sz w:val="18"/>
        <w:szCs w:val="18"/>
      </w:rPr>
      <w:t xml:space="preserve"> • </w:t>
    </w:r>
    <w:r w:rsidRPr="1D797E29">
      <w:rPr>
        <w:rFonts w:ascii="Arial Narrow" w:eastAsia="Arial Narrow" w:hAnsi="Arial Narrow" w:cs="Arial Narrow"/>
        <w:sz w:val="18"/>
        <w:szCs w:val="18"/>
      </w:rPr>
      <w:t>Ministry for Primary Industries</w:t>
    </w:r>
    <w:r w:rsidRPr="0074042E">
      <w:rPr>
        <w:rFonts w:ascii="Arial Narrow" w:hAnsi="Arial Narrow"/>
        <w:sz w:val="18"/>
        <w:szCs w:val="18"/>
      </w:rPr>
      <w:tab/>
    </w:r>
    <w:r w:rsidRPr="1D797E29">
      <w:rPr>
        <w:rFonts w:ascii="Arial Narrow" w:eastAsia="Arial Narrow" w:hAnsi="Arial Narrow" w:cs="Arial Narrow"/>
        <w:sz w:val="18"/>
        <w:szCs w:val="18"/>
      </w:rPr>
      <w:t>Quarterly report of swamp kauri activity</w:t>
    </w:r>
    <w:r>
      <w:rPr>
        <w:rFonts w:ascii="Arial Narrow" w:hAnsi="Arial Narrow"/>
        <w:sz w:val="18"/>
        <w:szCs w:val="18"/>
      </w:rPr>
      <w:tab/>
    </w:r>
    <w:r w:rsidRPr="1D797E29">
      <w:rPr>
        <w:rFonts w:ascii="Arial Narrow" w:eastAsia="Arial Narrow" w:hAnsi="Arial Narrow" w:cs="Arial Narrow"/>
        <w:sz w:val="18"/>
        <w:szCs w:val="18"/>
      </w:rPr>
      <w:t xml:space="preserve">Published </w:t>
    </w:r>
    <w:r w:rsidR="00182759">
      <w:rPr>
        <w:rFonts w:ascii="Arial Narrow" w:eastAsia="Arial Narrow" w:hAnsi="Arial Narrow" w:cs="Arial Narrow"/>
        <w:sz w:val="18"/>
        <w:szCs w:val="18"/>
      </w:rPr>
      <w:t>2 November</w:t>
    </w:r>
    <w:r w:rsidRPr="1D797E29">
      <w:rPr>
        <w:rFonts w:ascii="Arial Narrow" w:eastAsia="Arial Narrow" w:hAnsi="Arial Narrow" w:cs="Arial Narrow"/>
        <w:sz w:val="18"/>
        <w:szCs w:val="18"/>
      </w:rPr>
      <w:t xml:space="preserve"> 2017</w:t>
    </w:r>
  </w:p>
  <w:p w14:paraId="39A1220C" w14:textId="77777777" w:rsidR="00463D7A" w:rsidRDefault="00463D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4D221" w14:textId="77777777" w:rsidR="00463D7A" w:rsidRPr="00785A9E" w:rsidRDefault="00463D7A" w:rsidP="00785A9E">
    <w:pPr>
      <w:tabs>
        <w:tab w:val="center" w:pos="4513"/>
        <w:tab w:val="right" w:pos="9026"/>
      </w:tabs>
      <w:spacing w:after="0" w:line="240" w:lineRule="auto"/>
    </w:pPr>
  </w:p>
  <w:p w14:paraId="285DF89B" w14:textId="77777777" w:rsidR="00463D7A" w:rsidRPr="00785A9E" w:rsidRDefault="00463D7A" w:rsidP="00785A9E"/>
  <w:p w14:paraId="38172A20" w14:textId="4FEF1347" w:rsidR="00463D7A" w:rsidRPr="00785A9E" w:rsidRDefault="00463D7A" w:rsidP="1D797E29">
    <w:pPr>
      <w:pBdr>
        <w:top w:val="single" w:sz="4" w:space="1" w:color="auto"/>
      </w:pBdr>
      <w:tabs>
        <w:tab w:val="center" w:pos="4513"/>
        <w:tab w:val="right" w:pos="9026"/>
      </w:tabs>
      <w:spacing w:after="0" w:line="240" w:lineRule="auto"/>
      <w:rPr>
        <w:rFonts w:ascii="Arial Narrow" w:eastAsia="Arial Narrow" w:hAnsi="Arial Narrow" w:cs="Arial Narrow"/>
        <w:sz w:val="18"/>
        <w:szCs w:val="18"/>
      </w:rPr>
    </w:pPr>
    <w:r w:rsidRPr="1D797E29">
      <w:rPr>
        <w:rFonts w:ascii="Arial Narrow" w:eastAsia="Arial Narrow" w:hAnsi="Arial Narrow" w:cs="Arial Narrow"/>
        <w:noProof/>
        <w:sz w:val="18"/>
        <w:szCs w:val="18"/>
      </w:rPr>
      <w:fldChar w:fldCharType="begin"/>
    </w:r>
    <w:r w:rsidRPr="00785A9E">
      <w:rPr>
        <w:rFonts w:ascii="Arial Narrow" w:hAnsi="Arial Narrow"/>
        <w:sz w:val="18"/>
        <w:szCs w:val="18"/>
      </w:rPr>
      <w:instrText xml:space="preserve"> PAGE   \* MERGEFORMAT </w:instrText>
    </w:r>
    <w:r w:rsidRPr="1D797E29">
      <w:rPr>
        <w:rFonts w:ascii="Arial Narrow" w:hAnsi="Arial Narrow"/>
        <w:sz w:val="18"/>
        <w:szCs w:val="18"/>
      </w:rPr>
      <w:fldChar w:fldCharType="separate"/>
    </w:r>
    <w:r w:rsidR="006300BB" w:rsidRPr="006300BB">
      <w:rPr>
        <w:rFonts w:ascii="Arial Narrow" w:eastAsia="Arial Narrow" w:hAnsi="Arial Narrow" w:cs="Arial Narrow"/>
        <w:noProof/>
        <w:sz w:val="18"/>
        <w:szCs w:val="18"/>
      </w:rPr>
      <w:t>1</w:t>
    </w:r>
    <w:r w:rsidRPr="1D797E29">
      <w:rPr>
        <w:rFonts w:ascii="Arial Narrow" w:eastAsia="Arial Narrow" w:hAnsi="Arial Narrow" w:cs="Arial Narrow"/>
        <w:noProof/>
        <w:sz w:val="18"/>
        <w:szCs w:val="18"/>
      </w:rPr>
      <w:fldChar w:fldCharType="end"/>
    </w:r>
    <w:r w:rsidRPr="1D797E29">
      <w:rPr>
        <w:rFonts w:ascii="Arial Narrow" w:eastAsia="Arial Narrow" w:hAnsi="Arial Narrow" w:cs="Arial Narrow"/>
        <w:noProof/>
        <w:sz w:val="18"/>
        <w:szCs w:val="18"/>
      </w:rPr>
      <w:t xml:space="preserve"> • </w:t>
    </w:r>
    <w:r w:rsidRPr="1D797E29">
      <w:rPr>
        <w:rFonts w:ascii="Arial Narrow" w:eastAsia="Arial Narrow" w:hAnsi="Arial Narrow" w:cs="Arial Narrow"/>
        <w:sz w:val="18"/>
        <w:szCs w:val="18"/>
      </w:rPr>
      <w:t>Ministry for Primary Industries</w:t>
    </w:r>
    <w:r>
      <w:rPr>
        <w:rFonts w:ascii="Arial Narrow" w:hAnsi="Arial Narrow"/>
        <w:sz w:val="18"/>
        <w:szCs w:val="18"/>
      </w:rPr>
      <w:tab/>
    </w:r>
    <w:r w:rsidRPr="1D797E29">
      <w:rPr>
        <w:rFonts w:ascii="Arial Narrow" w:eastAsia="Arial Narrow" w:hAnsi="Arial Narrow" w:cs="Arial Narrow"/>
        <w:sz w:val="18"/>
        <w:szCs w:val="18"/>
      </w:rPr>
      <w:t>Quarterly Report of Swamp Kauri Activity</w:t>
    </w:r>
    <w:r w:rsidRPr="00785A9E">
      <w:rPr>
        <w:rFonts w:ascii="Arial Narrow" w:hAnsi="Arial Narrow"/>
        <w:sz w:val="18"/>
        <w:szCs w:val="18"/>
      </w:rPr>
      <w:tab/>
    </w:r>
    <w:r w:rsidRPr="1D797E29">
      <w:rPr>
        <w:rFonts w:ascii="Arial Narrow" w:eastAsia="Arial Narrow" w:hAnsi="Arial Narrow" w:cs="Arial Narrow"/>
        <w:sz w:val="18"/>
        <w:szCs w:val="18"/>
      </w:rPr>
      <w:t xml:space="preserve">Published:  </w:t>
    </w:r>
    <w:r w:rsidR="00612C0D">
      <w:rPr>
        <w:rFonts w:ascii="Arial Narrow" w:eastAsia="Arial Narrow" w:hAnsi="Arial Narrow" w:cs="Arial Narrow"/>
        <w:sz w:val="18"/>
        <w:szCs w:val="18"/>
      </w:rPr>
      <w:t>2 November</w:t>
    </w:r>
    <w:r w:rsidRPr="1D797E29">
      <w:rPr>
        <w:rFonts w:ascii="Arial Narrow" w:eastAsia="Arial Narrow" w:hAnsi="Arial Narrow" w:cs="Arial Narrow"/>
        <w:sz w:val="18"/>
        <w:szCs w:val="18"/>
      </w:rPr>
      <w:t xml:space="preserve"> 2017</w:t>
    </w:r>
  </w:p>
  <w:p w14:paraId="6BB7E2F7" w14:textId="77777777" w:rsidR="00463D7A" w:rsidRDefault="00463D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3817E" w14:textId="77777777" w:rsidR="00463D7A" w:rsidRPr="00785A9E" w:rsidRDefault="00463D7A" w:rsidP="00463D7A"/>
  <w:p w14:paraId="3D1B9431" w14:textId="72B53B08" w:rsidR="00463D7A" w:rsidRDefault="00463D7A" w:rsidP="00463D7A">
    <w:pPr>
      <w:pBdr>
        <w:top w:val="single" w:sz="4" w:space="1" w:color="auto"/>
      </w:pBdr>
      <w:tabs>
        <w:tab w:val="center" w:pos="4513"/>
        <w:tab w:val="right" w:pos="9026"/>
      </w:tabs>
      <w:spacing w:after="0" w:line="240" w:lineRule="auto"/>
      <w:rPr>
        <w:rFonts w:ascii="Arial Narrow" w:eastAsia="Arial Narrow" w:hAnsi="Arial Narrow" w:cs="Arial Narrow"/>
        <w:sz w:val="18"/>
        <w:szCs w:val="18"/>
      </w:rPr>
    </w:pPr>
    <w:r w:rsidRPr="1D797E29">
      <w:rPr>
        <w:rFonts w:ascii="Arial Narrow" w:eastAsia="Arial Narrow" w:hAnsi="Arial Narrow" w:cs="Arial Narrow"/>
        <w:noProof/>
        <w:sz w:val="18"/>
        <w:szCs w:val="18"/>
      </w:rPr>
      <w:fldChar w:fldCharType="begin"/>
    </w:r>
    <w:r w:rsidRPr="00785A9E">
      <w:rPr>
        <w:rFonts w:ascii="Arial Narrow" w:hAnsi="Arial Narrow"/>
        <w:sz w:val="18"/>
        <w:szCs w:val="18"/>
      </w:rPr>
      <w:instrText xml:space="preserve"> PAGE   \* MERGEFORMAT </w:instrText>
    </w:r>
    <w:r w:rsidRPr="1D797E29">
      <w:rPr>
        <w:rFonts w:ascii="Arial Narrow" w:hAnsi="Arial Narrow"/>
        <w:sz w:val="18"/>
        <w:szCs w:val="18"/>
      </w:rPr>
      <w:fldChar w:fldCharType="separate"/>
    </w:r>
    <w:r w:rsidR="006300BB" w:rsidRPr="006300BB">
      <w:rPr>
        <w:rFonts w:ascii="Arial Narrow" w:eastAsia="Arial Narrow" w:hAnsi="Arial Narrow" w:cs="Arial Narrow"/>
        <w:noProof/>
        <w:sz w:val="18"/>
        <w:szCs w:val="18"/>
      </w:rPr>
      <w:t>5</w:t>
    </w:r>
    <w:r w:rsidRPr="1D797E29">
      <w:rPr>
        <w:rFonts w:ascii="Arial Narrow" w:eastAsia="Arial Narrow" w:hAnsi="Arial Narrow" w:cs="Arial Narrow"/>
        <w:noProof/>
        <w:sz w:val="18"/>
        <w:szCs w:val="18"/>
      </w:rPr>
      <w:fldChar w:fldCharType="end"/>
    </w:r>
    <w:r w:rsidRPr="1D797E29">
      <w:rPr>
        <w:rFonts w:ascii="Arial Narrow" w:eastAsia="Arial Narrow" w:hAnsi="Arial Narrow" w:cs="Arial Narrow"/>
        <w:noProof/>
        <w:sz w:val="18"/>
        <w:szCs w:val="18"/>
      </w:rPr>
      <w:t xml:space="preserve"> • </w:t>
    </w:r>
    <w:r w:rsidRPr="1D797E29">
      <w:rPr>
        <w:rFonts w:ascii="Arial Narrow" w:eastAsia="Arial Narrow" w:hAnsi="Arial Narrow" w:cs="Arial Narrow"/>
        <w:sz w:val="18"/>
        <w:szCs w:val="18"/>
      </w:rPr>
      <w:t>Ministry for Primary Industries</w:t>
    </w:r>
    <w:r>
      <w:rPr>
        <w:rFonts w:ascii="Arial Narrow" w:hAnsi="Arial Narrow"/>
        <w:sz w:val="18"/>
        <w:szCs w:val="18"/>
      </w:rPr>
      <w:tab/>
    </w:r>
    <w:r w:rsidRPr="1D797E29">
      <w:rPr>
        <w:rFonts w:ascii="Arial Narrow" w:eastAsia="Arial Narrow" w:hAnsi="Arial Narrow" w:cs="Arial Narrow"/>
        <w:sz w:val="18"/>
        <w:szCs w:val="18"/>
      </w:rPr>
      <w:t>Quarterly Report of Swamp Kauri Activity</w:t>
    </w:r>
    <w:r w:rsidRPr="00785A9E">
      <w:rPr>
        <w:rFonts w:ascii="Arial Narrow" w:hAnsi="Arial Narrow"/>
        <w:sz w:val="18"/>
        <w:szCs w:val="18"/>
      </w:rPr>
      <w:tab/>
    </w:r>
    <w:r w:rsidR="00182759">
      <w:rPr>
        <w:rFonts w:ascii="Arial Narrow" w:hAnsi="Arial Narrow"/>
        <w:sz w:val="18"/>
        <w:szCs w:val="18"/>
      </w:rPr>
      <w:tab/>
    </w:r>
    <w:r w:rsidR="00182759">
      <w:rPr>
        <w:rFonts w:ascii="Arial Narrow" w:hAnsi="Arial Narrow"/>
        <w:sz w:val="18"/>
        <w:szCs w:val="18"/>
      </w:rPr>
      <w:tab/>
    </w:r>
    <w:r w:rsidR="00182759">
      <w:rPr>
        <w:rFonts w:ascii="Arial Narrow" w:hAnsi="Arial Narrow"/>
        <w:sz w:val="18"/>
        <w:szCs w:val="18"/>
      </w:rPr>
      <w:tab/>
    </w:r>
    <w:r w:rsidRPr="1D797E29">
      <w:rPr>
        <w:rFonts w:ascii="Arial Narrow" w:eastAsia="Arial Narrow" w:hAnsi="Arial Narrow" w:cs="Arial Narrow"/>
        <w:sz w:val="18"/>
        <w:szCs w:val="18"/>
      </w:rPr>
      <w:t xml:space="preserve">Published:  </w:t>
    </w:r>
    <w:r w:rsidR="00182759">
      <w:rPr>
        <w:rFonts w:ascii="Arial Narrow" w:eastAsia="Arial Narrow" w:hAnsi="Arial Narrow" w:cs="Arial Narrow"/>
        <w:sz w:val="18"/>
        <w:szCs w:val="18"/>
      </w:rPr>
      <w:t>2 November</w:t>
    </w:r>
    <w:r w:rsidRPr="1D797E29">
      <w:rPr>
        <w:rFonts w:ascii="Arial Narrow" w:eastAsia="Arial Narrow" w:hAnsi="Arial Narrow" w:cs="Arial Narrow"/>
        <w:sz w:val="18"/>
        <w:szCs w:val="18"/>
      </w:rPr>
      <w:t xml:space="preserve"> 2017</w:t>
    </w:r>
  </w:p>
  <w:p w14:paraId="6610F856" w14:textId="77777777" w:rsidR="00463D7A" w:rsidRPr="00785A9E" w:rsidRDefault="00463D7A" w:rsidP="00463D7A">
    <w:pPr>
      <w:pBdr>
        <w:top w:val="single" w:sz="4" w:space="1" w:color="auto"/>
      </w:pBdr>
      <w:tabs>
        <w:tab w:val="center" w:pos="4513"/>
        <w:tab w:val="right" w:pos="9026"/>
      </w:tabs>
      <w:spacing w:after="0" w:line="240" w:lineRule="auto"/>
      <w:rPr>
        <w:rFonts w:ascii="Arial Narrow" w:eastAsia="Arial Narrow" w:hAnsi="Arial Narrow" w:cs="Arial Narro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D8C95" w14:textId="77777777" w:rsidR="00463D7A" w:rsidRDefault="00463D7A" w:rsidP="00463D7A">
      <w:pPr>
        <w:spacing w:after="0" w:line="240" w:lineRule="auto"/>
      </w:pPr>
      <w:r>
        <w:separator/>
      </w:r>
    </w:p>
  </w:footnote>
  <w:footnote w:type="continuationSeparator" w:id="0">
    <w:p w14:paraId="71ACAE8B" w14:textId="77777777" w:rsidR="00463D7A" w:rsidRDefault="00463D7A" w:rsidP="00463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B3F56" w14:textId="77777777" w:rsidR="00463D7A" w:rsidRDefault="00463D7A" w:rsidP="0074042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FCC30" w14:textId="77777777" w:rsidR="00463D7A" w:rsidRDefault="00463D7A" w:rsidP="00785A9E">
    <w:pPr>
      <w:pStyle w:val="Header"/>
      <w:jc w:val="right"/>
    </w:pPr>
    <w:r>
      <w:rPr>
        <w:noProof/>
        <w:lang w:eastAsia="en-NZ"/>
      </w:rPr>
      <w:drawing>
        <wp:inline distT="0" distB="0" distL="0" distR="0" wp14:anchorId="14497698" wp14:editId="615751CD">
          <wp:extent cx="2582447" cy="6191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I-logo-colour-keyline.jpg"/>
                  <pic:cNvPicPr/>
                </pic:nvPicPr>
                <pic:blipFill>
                  <a:blip r:embed="rId1">
                    <a:extLst>
                      <a:ext uri="{28A0092B-C50C-407E-A947-70E740481C1C}">
                        <a14:useLocalDpi xmlns:a14="http://schemas.microsoft.com/office/drawing/2010/main" val="0"/>
                      </a:ext>
                    </a:extLst>
                  </a:blip>
                  <a:stretch>
                    <a:fillRect/>
                  </a:stretch>
                </pic:blipFill>
                <pic:spPr>
                  <a:xfrm>
                    <a:off x="0" y="0"/>
                    <a:ext cx="2638480" cy="63255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45304" w14:textId="77777777" w:rsidR="00463D7A" w:rsidRDefault="00463D7A" w:rsidP="00463D7A">
    <w:pPr>
      <w:pStyle w:val="Header"/>
      <w:jc w:val="right"/>
    </w:pPr>
    <w:r>
      <w:rPr>
        <w:noProof/>
        <w:lang w:eastAsia="en-NZ"/>
      </w:rPr>
      <w:drawing>
        <wp:inline distT="0" distB="0" distL="0" distR="0" wp14:anchorId="3D76347F" wp14:editId="7AC8CFF0">
          <wp:extent cx="2582447" cy="61912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I-logo-colour-keyline.jpg"/>
                  <pic:cNvPicPr/>
                </pic:nvPicPr>
                <pic:blipFill>
                  <a:blip r:embed="rId1">
                    <a:extLst>
                      <a:ext uri="{28A0092B-C50C-407E-A947-70E740481C1C}">
                        <a14:useLocalDpi xmlns:a14="http://schemas.microsoft.com/office/drawing/2010/main" val="0"/>
                      </a:ext>
                    </a:extLst>
                  </a:blip>
                  <a:stretch>
                    <a:fillRect/>
                  </a:stretch>
                </pic:blipFill>
                <pic:spPr>
                  <a:xfrm>
                    <a:off x="0" y="0"/>
                    <a:ext cx="2638480" cy="63255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7A"/>
    <w:rsid w:val="00162B34"/>
    <w:rsid w:val="00182759"/>
    <w:rsid w:val="00241C26"/>
    <w:rsid w:val="00463D7A"/>
    <w:rsid w:val="00612C0D"/>
    <w:rsid w:val="006300BB"/>
    <w:rsid w:val="00C13C98"/>
    <w:rsid w:val="00FB24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284C"/>
  <w15:chartTrackingRefBased/>
  <w15:docId w15:val="{7FDC89FD-BDAA-4DD9-81AF-3E8807D5C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7A"/>
    <w:pPr>
      <w:spacing w:after="80" w:line="280" w:lineRule="exact"/>
    </w:pPr>
    <w:rPr>
      <w:rFonts w:ascii="Arial" w:hAnsi="Arial"/>
    </w:rPr>
  </w:style>
  <w:style w:type="paragraph" w:styleId="Heading1">
    <w:name w:val="heading 1"/>
    <w:basedOn w:val="Normal"/>
    <w:next w:val="Normal"/>
    <w:link w:val="Heading1Char"/>
    <w:uiPriority w:val="9"/>
    <w:qFormat/>
    <w:rsid w:val="00463D7A"/>
    <w:pPr>
      <w:keepNext/>
      <w:keepLines/>
      <w:spacing w:before="240" w:after="0"/>
      <w:outlineLvl w:val="0"/>
    </w:pPr>
    <w:rPr>
      <w:rFonts w:ascii="Arial Narrow" w:eastAsiaTheme="majorEastAsia" w:hAnsi="Arial Narrow"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D7A"/>
    <w:pPr>
      <w:tabs>
        <w:tab w:val="center" w:pos="4513"/>
        <w:tab w:val="right" w:pos="9026"/>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463D7A"/>
  </w:style>
  <w:style w:type="paragraph" w:styleId="Footer">
    <w:name w:val="footer"/>
    <w:basedOn w:val="Normal"/>
    <w:link w:val="FooterChar"/>
    <w:uiPriority w:val="99"/>
    <w:unhideWhenUsed/>
    <w:rsid w:val="00463D7A"/>
    <w:pPr>
      <w:tabs>
        <w:tab w:val="center" w:pos="4513"/>
        <w:tab w:val="right" w:pos="9026"/>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463D7A"/>
  </w:style>
  <w:style w:type="paragraph" w:styleId="Title">
    <w:name w:val="Title"/>
    <w:basedOn w:val="Normal"/>
    <w:next w:val="Normal"/>
    <w:link w:val="TitleChar"/>
    <w:uiPriority w:val="10"/>
    <w:qFormat/>
    <w:rsid w:val="00463D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3D7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63D7A"/>
    <w:rPr>
      <w:color w:val="0563C1" w:themeColor="hyperlink"/>
      <w:u w:val="single"/>
    </w:rPr>
  </w:style>
  <w:style w:type="character" w:customStyle="1" w:styleId="Heading1Char">
    <w:name w:val="Heading 1 Char"/>
    <w:basedOn w:val="DefaultParagraphFont"/>
    <w:link w:val="Heading1"/>
    <w:uiPriority w:val="9"/>
    <w:rsid w:val="00463D7A"/>
    <w:rPr>
      <w:rFonts w:ascii="Arial Narrow" w:eastAsiaTheme="majorEastAsia" w:hAnsi="Arial Narrow" w:cstheme="majorBidi"/>
      <w:b/>
      <w:sz w:val="32"/>
      <w:szCs w:val="32"/>
    </w:rPr>
  </w:style>
  <w:style w:type="table" w:styleId="TableGrid">
    <w:name w:val="Table Grid"/>
    <w:basedOn w:val="TableNormal"/>
    <w:uiPriority w:val="39"/>
    <w:rsid w:val="00463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3D7A"/>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mpi.govt.nz/exporting/forest-products/wood-and-wood-products/swamp-kauri"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oleObject" Target="https://piritahi.cohesion.net.nz/Sites/FLM/IF/ExportControls/SK_Consolidated_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piritahi.cohesion.net.nz/Sites/FLM/IF/ExportControls/SK_Consolidated_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Analysis!$U$10</c:f>
              <c:strCache>
                <c:ptCount val="1"/>
                <c:pt idx="0">
                  <c:v>Q3</c:v>
                </c:pt>
              </c:strCache>
            </c:strRef>
          </c:tx>
          <c:spPr>
            <a:solidFill>
              <a:schemeClr val="accent1"/>
            </a:solidFill>
            <a:ln>
              <a:noFill/>
            </a:ln>
            <a:effectLst/>
          </c:spPr>
          <c:invertIfNegative val="0"/>
          <c:cat>
            <c:numRef>
              <c:f>Analysis!$V$5:$AC$5</c:f>
              <c:numCache>
                <c:formatCode>General</c:formatCode>
                <c:ptCount val="8"/>
                <c:pt idx="0">
                  <c:v>2010</c:v>
                </c:pt>
                <c:pt idx="1">
                  <c:v>2011</c:v>
                </c:pt>
                <c:pt idx="2">
                  <c:v>2012</c:v>
                </c:pt>
                <c:pt idx="3">
                  <c:v>2013</c:v>
                </c:pt>
                <c:pt idx="4">
                  <c:v>2014</c:v>
                </c:pt>
                <c:pt idx="5">
                  <c:v>2015</c:v>
                </c:pt>
                <c:pt idx="6">
                  <c:v>2016</c:v>
                </c:pt>
                <c:pt idx="7">
                  <c:v>2017</c:v>
                </c:pt>
              </c:numCache>
            </c:numRef>
          </c:cat>
          <c:val>
            <c:numRef>
              <c:f>Analysis!$V$10:$AC$10</c:f>
              <c:numCache>
                <c:formatCode>General</c:formatCode>
                <c:ptCount val="8"/>
                <c:pt idx="0">
                  <c:v>65.852100000000007</c:v>
                </c:pt>
                <c:pt idx="1">
                  <c:v>45.406000000000006</c:v>
                </c:pt>
                <c:pt idx="2">
                  <c:v>127.87800000000001</c:v>
                </c:pt>
                <c:pt idx="3">
                  <c:v>279.22399999999999</c:v>
                </c:pt>
                <c:pt idx="4">
                  <c:v>894.52800000000002</c:v>
                </c:pt>
                <c:pt idx="5">
                  <c:v>1121.6469999999999</c:v>
                </c:pt>
                <c:pt idx="6">
                  <c:v>307.90499999999997</c:v>
                </c:pt>
                <c:pt idx="7">
                  <c:v>58.736000000000004</c:v>
                </c:pt>
              </c:numCache>
            </c:numRef>
          </c:val>
        </c:ser>
        <c:dLbls>
          <c:showLegendKey val="0"/>
          <c:showVal val="0"/>
          <c:showCatName val="0"/>
          <c:showSerName val="0"/>
          <c:showPercent val="0"/>
          <c:showBubbleSize val="0"/>
        </c:dLbls>
        <c:gapWidth val="219"/>
        <c:overlap val="-27"/>
        <c:axId val="295832648"/>
        <c:axId val="295833432"/>
      </c:barChart>
      <c:catAx>
        <c:axId val="2958326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Year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833432"/>
        <c:crosses val="autoZero"/>
        <c:auto val="1"/>
        <c:lblAlgn val="ctr"/>
        <c:lblOffset val="100"/>
        <c:noMultiLvlLbl val="0"/>
      </c:catAx>
      <c:valAx>
        <c:axId val="295833432"/>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Volume (m</a:t>
                </a:r>
                <a:r>
                  <a:rPr lang="en-NZ" baseline="30000"/>
                  <a:t>3</a:t>
                </a:r>
                <a:r>
                  <a:rPr lang="en-NZ"/>
                  <a:t>)</a:t>
                </a:r>
              </a:p>
            </c:rich>
          </c:tx>
          <c:layout>
            <c:manualLayout>
              <c:xMode val="edge"/>
              <c:yMode val="edge"/>
              <c:x val="4.5517211718352393E-2"/>
              <c:y val="0.1041955856187987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832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[SK_Consolidated_Data.xlsx]Analysis!PivotTable3</c:name>
    <c:fmtId val="98"/>
  </c:pivotSource>
  <c:chart>
    <c:autoTitleDeleted val="1"/>
    <c:pivotFmts>
      <c:pivotFmt>
        <c:idx val="0"/>
        <c:spPr>
          <a:solidFill>
            <a:schemeClr val="accent1"/>
          </a:solidFill>
          <a:ln w="28575" cap="rnd">
            <a:noFill/>
            <a:round/>
          </a:ln>
          <a:effectLst/>
        </c:spPr>
        <c:marker>
          <c:spPr>
            <a:solidFill>
              <a:schemeClr val="accent1"/>
            </a:solidFill>
            <a:ln w="9525">
              <a:solidFill>
                <a:schemeClr val="accent1"/>
              </a:solidFill>
            </a:ln>
            <a:effectLst/>
          </c:spPr>
        </c:marker>
      </c:pivotFmt>
      <c:pivotFmt>
        <c:idx val="1"/>
        <c:spPr>
          <a:solidFill>
            <a:schemeClr val="accent1"/>
          </a:solidFill>
          <a:ln w="28575" cap="rnd">
            <a:noFill/>
            <a:round/>
          </a:ln>
          <a:effectLst/>
        </c:spPr>
        <c:marker>
          <c:spPr>
            <a:solidFill>
              <a:schemeClr val="accent1"/>
            </a:solidFill>
            <a:ln w="9525">
              <a:solidFill>
                <a:schemeClr val="accent1"/>
              </a:solidFill>
            </a:ln>
            <a:effectLst/>
          </c:spPr>
        </c:marker>
      </c:pivotFmt>
      <c:pivotFmt>
        <c:idx val="2"/>
        <c:spPr>
          <a:solidFill>
            <a:schemeClr val="accent1"/>
          </a:solidFill>
          <a:ln w="28575" cap="rnd">
            <a:no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1"/>
          <c:showPercent val="1"/>
          <c:showBubbleSize val="1"/>
          <c:extLst>
            <c:ext xmlns:c15="http://schemas.microsoft.com/office/drawing/2012/chart" uri="{CE6537A1-D6FC-4f65-9D91-7224C49458BB}"/>
          </c:extLst>
        </c:dLbl>
      </c:pivotFmt>
      <c:pivotFmt>
        <c:idx val="3"/>
        <c:spPr>
          <a:solidFill>
            <a:schemeClr val="accent1"/>
          </a:solidFill>
          <a:ln w="25400" cap="rnd">
            <a:noFill/>
            <a:round/>
          </a:ln>
          <a:effectLst/>
        </c:spPr>
        <c:marker>
          <c:symbol val="circle"/>
          <c:size val="5"/>
          <c:spPr>
            <a:solidFill>
              <a:schemeClr val="accent2"/>
            </a:solidFill>
            <a:ln w="9525">
              <a:solidFill>
                <a:schemeClr val="accent2"/>
              </a:solidFill>
            </a:ln>
            <a:effectLst/>
          </c:spPr>
        </c:marker>
      </c:pivotFmt>
      <c:pivotFmt>
        <c:idx val="4"/>
        <c:spPr>
          <a:solidFill>
            <a:schemeClr val="accent1"/>
          </a:solidFill>
          <a:ln w="25400" cap="rnd">
            <a:noFill/>
            <a:round/>
          </a:ln>
          <a:effectLst/>
        </c:spPr>
        <c:marker>
          <c:symbol val="circle"/>
          <c:size val="5"/>
          <c:spPr>
            <a:solidFill>
              <a:schemeClr val="accent3"/>
            </a:solidFill>
            <a:ln w="9525">
              <a:solidFill>
                <a:schemeClr val="accent3"/>
              </a:solidFill>
            </a:ln>
            <a:effectLst/>
          </c:spPr>
        </c:marker>
      </c:pivotFmt>
      <c:pivotFmt>
        <c:idx val="5"/>
        <c:spPr>
          <a:solidFill>
            <a:schemeClr val="accent1"/>
          </a:solidFill>
          <a:ln w="25400" cap="rnd">
            <a:noFill/>
            <a:round/>
          </a:ln>
          <a:effectLst/>
        </c:spPr>
        <c:marker>
          <c:symbol val="circle"/>
          <c:size val="5"/>
          <c:spPr>
            <a:solidFill>
              <a:schemeClr val="accent4"/>
            </a:solidFill>
            <a:ln w="9525">
              <a:solidFill>
                <a:schemeClr val="accent4"/>
              </a:solidFill>
            </a:ln>
            <a:effectLst/>
          </c:spPr>
        </c:marker>
      </c:pivotFmt>
      <c:pivotFmt>
        <c:idx val="6"/>
        <c:spPr>
          <a:solidFill>
            <a:schemeClr val="accent1"/>
          </a:solidFill>
          <a:ln w="25400" cap="rnd">
            <a:noFill/>
            <a:round/>
          </a:ln>
          <a:effectLst/>
        </c:spPr>
        <c:marker>
          <c:symbol val="circle"/>
          <c:size val="5"/>
          <c:spPr>
            <a:solidFill>
              <a:schemeClr val="accent5"/>
            </a:solidFill>
            <a:ln w="9525">
              <a:solidFill>
                <a:schemeClr val="accent5"/>
              </a:solidFill>
            </a:ln>
            <a:effectLst/>
          </c:spPr>
        </c:marker>
      </c:pivotFmt>
      <c:pivotFmt>
        <c:idx val="7"/>
        <c:spPr>
          <a:solidFill>
            <a:schemeClr val="accent1"/>
          </a:solidFill>
          <a:ln w="25400" cap="rnd">
            <a:noFill/>
            <a:round/>
          </a:ln>
          <a:effectLst/>
        </c:spPr>
        <c:marker>
          <c:symbol val="circle"/>
          <c:size val="5"/>
          <c:spPr>
            <a:solidFill>
              <a:schemeClr val="accent6"/>
            </a:solidFill>
            <a:ln w="9525">
              <a:solidFill>
                <a:schemeClr val="accent6"/>
              </a:solidFill>
            </a:ln>
            <a:effectLst/>
          </c:spPr>
        </c:marker>
      </c:pivotFmt>
      <c:pivotFmt>
        <c:idx val="8"/>
        <c:spPr>
          <a:solidFill>
            <a:schemeClr val="accent1"/>
          </a:solidFill>
          <a:ln w="25400" cap="rnd">
            <a:no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9"/>
        <c:spPr>
          <a:solidFill>
            <a:schemeClr val="accent1"/>
          </a:solidFill>
          <a:ln w="25400" cap="rnd">
            <a:noFill/>
            <a:round/>
          </a:ln>
          <a:effectLst/>
        </c:spPr>
        <c:marker>
          <c:spPr>
            <a:solidFill>
              <a:schemeClr val="accent1"/>
            </a:solidFill>
            <a:ln w="9525">
              <a:solidFill>
                <a:schemeClr val="accent1"/>
              </a:solidFill>
            </a:ln>
            <a:effectLst/>
          </c:spPr>
        </c:marker>
      </c:pivotFmt>
      <c:pivotFmt>
        <c:idx val="10"/>
        <c:spPr>
          <a:solidFill>
            <a:schemeClr val="accent1"/>
          </a:solidFill>
          <a:ln w="25400" cap="rnd">
            <a:noFill/>
            <a:round/>
          </a:ln>
          <a:effectLst/>
        </c:spPr>
        <c:marker>
          <c:spPr>
            <a:solidFill>
              <a:schemeClr val="accent1"/>
            </a:solidFill>
            <a:ln w="9525">
              <a:solidFill>
                <a:schemeClr val="accent1"/>
              </a:solidFill>
            </a:ln>
            <a:effectLst/>
          </c:spPr>
        </c:marker>
      </c:pivotFmt>
      <c:pivotFmt>
        <c:idx val="11"/>
        <c:spPr>
          <a:solidFill>
            <a:schemeClr val="accent1"/>
          </a:solidFill>
          <a:ln w="25400" cap="rnd">
            <a:noFill/>
            <a:round/>
          </a:ln>
          <a:effectLst/>
        </c:spPr>
        <c:marker>
          <c:spPr>
            <a:solidFill>
              <a:schemeClr val="accent1"/>
            </a:solidFill>
            <a:ln w="9525">
              <a:solidFill>
                <a:schemeClr val="accent1"/>
              </a:solidFill>
            </a:ln>
            <a:effectLst/>
          </c:spPr>
        </c:marker>
      </c:pivotFmt>
      <c:pivotFmt>
        <c:idx val="12"/>
        <c:spPr>
          <a:solidFill>
            <a:schemeClr val="accent1"/>
          </a:solidFill>
          <a:ln w="25400" cap="rnd">
            <a:noFill/>
            <a:round/>
          </a:ln>
          <a:effectLst/>
        </c:spPr>
        <c:marker>
          <c:spPr>
            <a:solidFill>
              <a:schemeClr val="accent1"/>
            </a:solidFill>
            <a:ln w="9525">
              <a:solidFill>
                <a:schemeClr val="accent1"/>
              </a:solidFill>
            </a:ln>
            <a:effectLst/>
          </c:spPr>
        </c:marker>
      </c:pivotFmt>
      <c:pivotFmt>
        <c:idx val="13"/>
        <c:spPr>
          <a:solidFill>
            <a:schemeClr val="accent1"/>
          </a:solidFill>
          <a:ln w="25400" cap="rnd">
            <a:noFill/>
            <a:round/>
          </a:ln>
          <a:effectLst/>
        </c:spPr>
        <c:marker>
          <c:spPr>
            <a:solidFill>
              <a:schemeClr val="accent1"/>
            </a:solidFill>
            <a:ln w="9525">
              <a:solidFill>
                <a:schemeClr val="accent1"/>
              </a:solidFill>
            </a:ln>
            <a:effectLst/>
          </c:spPr>
        </c:marker>
      </c:pivotFmt>
      <c:pivotFmt>
        <c:idx val="14"/>
        <c:spPr>
          <a:solidFill>
            <a:schemeClr val="accent1"/>
          </a:solidFill>
          <a:ln w="25400" cap="rnd">
            <a:noFill/>
            <a:round/>
          </a:ln>
          <a:effectLst/>
        </c:spPr>
        <c:marker>
          <c:spPr>
            <a:solidFill>
              <a:schemeClr val="accent1"/>
            </a:solidFill>
            <a:ln w="9525">
              <a:solidFill>
                <a:schemeClr val="accent1"/>
              </a:solidFill>
            </a:ln>
            <a:effectLst/>
          </c:spPr>
        </c:marker>
      </c:pivotFmt>
      <c:pivotFmt>
        <c:idx val="15"/>
        <c:spPr>
          <a:solidFill>
            <a:schemeClr val="accent1"/>
          </a:solidFill>
          <a:ln w="25400" cap="rnd">
            <a:noFill/>
            <a:round/>
          </a:ln>
          <a:effectLst/>
        </c:spPr>
        <c:marker>
          <c:spPr>
            <a:solidFill>
              <a:schemeClr val="accent1"/>
            </a:solidFill>
            <a:ln w="9525">
              <a:solidFill>
                <a:schemeClr val="accent1"/>
              </a:solidFill>
            </a:ln>
            <a:effectLst/>
          </c:spPr>
        </c:marker>
      </c:pivotFmt>
      <c:pivotFmt>
        <c:idx val="16"/>
        <c:spPr>
          <a:solidFill>
            <a:schemeClr val="accent1"/>
          </a:solidFill>
          <a:ln w="25400" cap="rnd">
            <a:noFill/>
            <a:round/>
          </a:ln>
          <a:effectLst/>
        </c:spPr>
        <c:marker>
          <c:spPr>
            <a:solidFill>
              <a:schemeClr val="accent1"/>
            </a:solidFill>
            <a:ln w="9525">
              <a:solidFill>
                <a:schemeClr val="accent1"/>
              </a:solidFill>
            </a:ln>
            <a:effectLst/>
          </c:spPr>
        </c:marker>
      </c:pivotFmt>
      <c:pivotFmt>
        <c:idx val="17"/>
        <c:spPr>
          <a:solidFill>
            <a:schemeClr val="accent1"/>
          </a:solidFill>
          <a:ln w="25400" cap="rnd">
            <a:noFill/>
            <a:round/>
          </a:ln>
          <a:effectLst/>
        </c:spPr>
        <c:marker>
          <c:spPr>
            <a:solidFill>
              <a:schemeClr val="accent1"/>
            </a:solidFill>
            <a:ln w="9525">
              <a:solidFill>
                <a:schemeClr val="accent1"/>
              </a:solidFill>
            </a:ln>
            <a:effectLst/>
          </c:spPr>
        </c:marker>
      </c:pivotFmt>
      <c:pivotFmt>
        <c:idx val="18"/>
        <c:spPr>
          <a:solidFill>
            <a:schemeClr val="accent1"/>
          </a:solidFill>
          <a:ln w="25400" cap="rnd">
            <a:noFill/>
            <a:round/>
          </a:ln>
          <a:effectLst/>
        </c:spPr>
        <c:marker>
          <c:spPr>
            <a:solidFill>
              <a:schemeClr val="accent1"/>
            </a:solidFill>
            <a:ln w="9525">
              <a:solidFill>
                <a:schemeClr val="accent1"/>
              </a:solidFill>
            </a:ln>
            <a:effectLst/>
          </c:spPr>
        </c:marker>
      </c:pivotFmt>
      <c:pivotFmt>
        <c:idx val="19"/>
        <c:spPr>
          <a:solidFill>
            <a:schemeClr val="accent1"/>
          </a:solidFill>
          <a:ln w="25400" cap="rnd">
            <a:noFill/>
            <a:round/>
          </a:ln>
          <a:effectLst/>
        </c:spPr>
        <c:marker>
          <c:spPr>
            <a:solidFill>
              <a:schemeClr val="accent1"/>
            </a:solidFill>
            <a:ln w="9525">
              <a:solidFill>
                <a:schemeClr val="accent1"/>
              </a:solidFill>
            </a:ln>
            <a:effectLst/>
          </c:spPr>
        </c:marker>
      </c:pivotFmt>
      <c:pivotFmt>
        <c:idx val="20"/>
        <c:spPr>
          <a:solidFill>
            <a:schemeClr val="accent1"/>
          </a:solidFill>
          <a:ln w="25400" cap="rnd">
            <a:noFill/>
            <a:round/>
          </a:ln>
          <a:effectLst/>
        </c:spPr>
        <c:marker>
          <c:spPr>
            <a:solidFill>
              <a:schemeClr val="accent1"/>
            </a:solidFill>
            <a:ln w="9525">
              <a:solidFill>
                <a:schemeClr val="accent1"/>
              </a:solidFill>
            </a:ln>
            <a:effectLst/>
          </c:spPr>
        </c:marker>
      </c:pivotFmt>
      <c:pivotFmt>
        <c:idx val="21"/>
        <c:spPr>
          <a:solidFill>
            <a:schemeClr val="accent1"/>
          </a:solidFill>
          <a:ln w="25400" cap="rnd">
            <a:noFill/>
            <a:round/>
          </a:ln>
          <a:effectLst/>
        </c:spPr>
        <c:marker>
          <c:spPr>
            <a:solidFill>
              <a:schemeClr val="accent1"/>
            </a:solidFill>
            <a:ln w="9525">
              <a:solidFill>
                <a:schemeClr val="accent1"/>
              </a:solidFill>
            </a:ln>
            <a:effectLst/>
          </c:spPr>
        </c:marker>
      </c:pivotFmt>
      <c:pivotFmt>
        <c:idx val="22"/>
        <c:spPr>
          <a:solidFill>
            <a:schemeClr val="accent1"/>
          </a:solidFill>
          <a:ln w="25400" cap="rnd">
            <a:noFill/>
            <a:round/>
          </a:ln>
          <a:effectLst/>
        </c:spPr>
        <c:marker>
          <c:spPr>
            <a:solidFill>
              <a:schemeClr val="accent1"/>
            </a:solidFill>
            <a:ln w="9525">
              <a:solidFill>
                <a:schemeClr val="accent1"/>
              </a:solidFill>
            </a:ln>
            <a:effectLst/>
          </c:spPr>
        </c:marker>
      </c:pivotFmt>
      <c:pivotFmt>
        <c:idx val="23"/>
        <c:spPr>
          <a:solidFill>
            <a:schemeClr val="accent1"/>
          </a:solidFill>
          <a:ln w="25400" cap="rnd">
            <a:noFill/>
            <a:round/>
          </a:ln>
          <a:effectLst/>
        </c:spPr>
        <c:marker>
          <c:spPr>
            <a:solidFill>
              <a:schemeClr val="accent1"/>
            </a:solidFill>
            <a:ln w="9525">
              <a:solidFill>
                <a:schemeClr val="accent1"/>
              </a:solidFill>
            </a:ln>
            <a:effectLst/>
          </c:spPr>
        </c:marker>
      </c:pivotFmt>
      <c:pivotFmt>
        <c:idx val="24"/>
        <c:spPr>
          <a:solidFill>
            <a:schemeClr val="accent1"/>
          </a:solidFill>
          <a:ln w="25400" cap="rnd">
            <a:noFill/>
            <a:round/>
          </a:ln>
          <a:effectLst/>
        </c:spPr>
        <c:marker>
          <c:spPr>
            <a:solidFill>
              <a:schemeClr val="accent1"/>
            </a:solidFill>
            <a:ln w="9525">
              <a:solidFill>
                <a:schemeClr val="accent1"/>
              </a:solidFill>
            </a:ln>
            <a:effectLst/>
          </c:spPr>
        </c:marker>
      </c:pivotFmt>
      <c:pivotFmt>
        <c:idx val="25"/>
        <c:spPr>
          <a:solidFill>
            <a:schemeClr val="accent1"/>
          </a:solidFill>
          <a:ln w="25400" cap="rnd">
            <a:noFill/>
            <a:round/>
          </a:ln>
          <a:effectLst/>
        </c:spPr>
        <c:marker>
          <c:spPr>
            <a:solidFill>
              <a:schemeClr val="accent1"/>
            </a:solidFill>
            <a:ln w="9525">
              <a:solidFill>
                <a:schemeClr val="accent1"/>
              </a:solidFill>
            </a:ln>
            <a:effectLst/>
          </c:spPr>
        </c:marker>
      </c:pivotFmt>
      <c:pivotFmt>
        <c:idx val="26"/>
        <c:spPr>
          <a:solidFill>
            <a:schemeClr val="accent1"/>
          </a:solidFill>
          <a:ln w="25400" cap="rnd">
            <a:noFill/>
            <a:round/>
          </a:ln>
          <a:effectLst/>
        </c:spPr>
        <c:marker>
          <c:spPr>
            <a:solidFill>
              <a:schemeClr val="accent1"/>
            </a:solidFill>
            <a:ln w="9525">
              <a:solidFill>
                <a:schemeClr val="accent1"/>
              </a:solidFill>
            </a:ln>
            <a:effectLst/>
          </c:spPr>
        </c:marker>
      </c:pivotFmt>
      <c:pivotFmt>
        <c:idx val="27"/>
        <c:spPr>
          <a:solidFill>
            <a:schemeClr val="accent1"/>
          </a:solidFill>
          <a:ln w="25400" cap="rnd">
            <a:noFill/>
            <a:round/>
          </a:ln>
          <a:effectLst/>
        </c:spPr>
        <c:marker>
          <c:spPr>
            <a:solidFill>
              <a:schemeClr val="accent1"/>
            </a:solidFill>
            <a:ln w="9525">
              <a:solidFill>
                <a:schemeClr val="accent1"/>
              </a:solidFill>
            </a:ln>
            <a:effectLst/>
          </c:spPr>
        </c:marker>
      </c:pivotFmt>
      <c:pivotFmt>
        <c:idx val="28"/>
        <c:spPr>
          <a:solidFill>
            <a:schemeClr val="accent1"/>
          </a:solidFill>
          <a:ln w="25400" cap="rnd">
            <a:noFill/>
            <a:round/>
          </a:ln>
          <a:effectLst/>
        </c:spPr>
        <c:marker>
          <c:spPr>
            <a:solidFill>
              <a:schemeClr val="accent1"/>
            </a:solidFill>
            <a:ln w="9525">
              <a:solidFill>
                <a:schemeClr val="accent1"/>
              </a:solidFill>
            </a:ln>
            <a:effectLst/>
          </c:spPr>
        </c:marker>
      </c:pivotFmt>
      <c:pivotFmt>
        <c:idx val="29"/>
        <c:spPr>
          <a:solidFill>
            <a:schemeClr val="accent1"/>
          </a:solidFill>
          <a:ln w="25400" cap="rnd">
            <a:noFill/>
            <a:round/>
          </a:ln>
          <a:effectLst/>
        </c:spPr>
        <c:marker>
          <c:spPr>
            <a:solidFill>
              <a:schemeClr val="accent1"/>
            </a:solidFill>
            <a:ln w="9525">
              <a:solidFill>
                <a:schemeClr val="accent1"/>
              </a:solidFill>
            </a:ln>
            <a:effectLst/>
          </c:spPr>
        </c:marker>
      </c:pivotFmt>
      <c:pivotFmt>
        <c:idx val="30"/>
        <c:spPr>
          <a:solidFill>
            <a:schemeClr val="accent1"/>
          </a:solidFill>
          <a:ln w="25400" cap="rnd">
            <a:noFill/>
            <a:round/>
          </a:ln>
          <a:effectLst/>
        </c:spPr>
        <c:marker>
          <c:spPr>
            <a:solidFill>
              <a:schemeClr val="accent1"/>
            </a:solidFill>
            <a:ln w="9525">
              <a:solidFill>
                <a:schemeClr val="accent1"/>
              </a:solidFill>
            </a:ln>
            <a:effectLst/>
          </c:spPr>
        </c:marker>
      </c:pivotFmt>
      <c:pivotFmt>
        <c:idx val="31"/>
        <c:spPr>
          <a:solidFill>
            <a:schemeClr val="accent1"/>
          </a:solidFill>
          <a:ln w="25400" cap="rnd">
            <a:noFill/>
            <a:round/>
          </a:ln>
          <a:effectLst/>
        </c:spPr>
        <c:marker>
          <c:spPr>
            <a:solidFill>
              <a:schemeClr val="accent1"/>
            </a:solidFill>
            <a:ln w="9525">
              <a:solidFill>
                <a:schemeClr val="accent1"/>
              </a:solidFill>
            </a:ln>
            <a:effectLst/>
          </c:spPr>
        </c:marker>
      </c:pivotFmt>
      <c:pivotFmt>
        <c:idx val="32"/>
        <c:spPr>
          <a:solidFill>
            <a:schemeClr val="accent1"/>
          </a:solidFill>
          <a:ln w="25400" cap="rnd">
            <a:noFill/>
            <a:round/>
          </a:ln>
          <a:effectLst/>
        </c:spPr>
        <c:marker>
          <c:spPr>
            <a:solidFill>
              <a:schemeClr val="accent1"/>
            </a:solidFill>
            <a:ln w="9525">
              <a:solidFill>
                <a:schemeClr val="accent1"/>
              </a:solidFill>
            </a:ln>
            <a:effectLst/>
          </c:spPr>
        </c:marker>
      </c:pivotFmt>
      <c:pivotFmt>
        <c:idx val="33"/>
        <c:spPr>
          <a:solidFill>
            <a:schemeClr val="accent1"/>
          </a:solidFill>
          <a:ln w="25400" cap="rnd">
            <a:noFill/>
            <a:round/>
          </a:ln>
          <a:effectLst/>
        </c:spPr>
        <c:marker>
          <c:spPr>
            <a:solidFill>
              <a:schemeClr val="accent1"/>
            </a:solidFill>
            <a:ln w="9525">
              <a:solidFill>
                <a:schemeClr val="accent1"/>
              </a:solidFill>
            </a:ln>
            <a:effectLst/>
          </c:spPr>
        </c:marker>
      </c:pivotFmt>
      <c:pivotFmt>
        <c:idx val="34"/>
        <c:spPr>
          <a:solidFill>
            <a:schemeClr val="accent1"/>
          </a:solidFill>
          <a:ln w="25400" cap="rnd">
            <a:noFill/>
            <a:round/>
          </a:ln>
          <a:effectLst/>
        </c:spPr>
        <c:marker>
          <c:spPr>
            <a:solidFill>
              <a:schemeClr val="accent1"/>
            </a:solidFill>
            <a:ln w="9525">
              <a:solidFill>
                <a:schemeClr val="accent1"/>
              </a:solidFill>
            </a:ln>
            <a:effectLst/>
          </c:spPr>
        </c:marker>
      </c:pivotFmt>
      <c:pivotFmt>
        <c:idx val="35"/>
        <c:spPr>
          <a:solidFill>
            <a:schemeClr val="accent1"/>
          </a:solidFill>
          <a:ln w="25400" cap="rnd">
            <a:noFill/>
            <a:round/>
          </a:ln>
          <a:effectLst/>
        </c:spPr>
        <c:marker>
          <c:spPr>
            <a:solidFill>
              <a:schemeClr val="accent1"/>
            </a:solidFill>
            <a:ln w="9525">
              <a:solidFill>
                <a:schemeClr val="accent1"/>
              </a:solidFill>
            </a:ln>
            <a:effectLst/>
          </c:spPr>
        </c:marker>
      </c:pivotFmt>
      <c:pivotFmt>
        <c:idx val="36"/>
        <c:spPr>
          <a:solidFill>
            <a:schemeClr val="accent1"/>
          </a:solidFill>
          <a:ln w="25400" cap="rnd">
            <a:noFill/>
            <a:round/>
          </a:ln>
          <a:effectLst/>
        </c:spPr>
        <c:marker>
          <c:spPr>
            <a:solidFill>
              <a:schemeClr val="accent1"/>
            </a:solidFill>
            <a:ln w="9525">
              <a:solidFill>
                <a:schemeClr val="accent1"/>
              </a:solidFill>
            </a:ln>
            <a:effectLst/>
          </c:spPr>
        </c:marker>
      </c:pivotFmt>
      <c:pivotFmt>
        <c:idx val="37"/>
        <c:spPr>
          <a:solidFill>
            <a:schemeClr val="accent1"/>
          </a:solidFill>
          <a:ln w="25400" cap="rnd">
            <a:noFill/>
            <a:round/>
          </a:ln>
          <a:effectLst/>
        </c:spPr>
        <c:marker>
          <c:spPr>
            <a:solidFill>
              <a:schemeClr val="accent1"/>
            </a:solidFill>
            <a:ln w="9525">
              <a:solidFill>
                <a:schemeClr val="accent1"/>
              </a:solidFill>
            </a:ln>
            <a:effectLst/>
          </c:spPr>
        </c:marker>
      </c:pivotFmt>
      <c:pivotFmt>
        <c:idx val="38"/>
        <c:spPr>
          <a:solidFill>
            <a:schemeClr val="accent1"/>
          </a:solidFill>
          <a:ln w="25400" cap="rnd">
            <a:noFill/>
            <a:round/>
          </a:ln>
          <a:effectLst/>
        </c:spPr>
        <c:marker>
          <c:spPr>
            <a:solidFill>
              <a:schemeClr val="accent1"/>
            </a:solidFill>
            <a:ln w="9525">
              <a:solidFill>
                <a:schemeClr val="accent1"/>
              </a:solidFill>
            </a:ln>
            <a:effectLst/>
          </c:spPr>
        </c:marker>
      </c:pivotFmt>
      <c:pivotFmt>
        <c:idx val="39"/>
        <c:spPr>
          <a:solidFill>
            <a:schemeClr val="accent1"/>
          </a:solidFill>
          <a:ln w="25400" cap="rnd">
            <a:noFill/>
            <a:round/>
          </a:ln>
          <a:effectLst/>
        </c:spPr>
        <c:marker>
          <c:spPr>
            <a:solidFill>
              <a:schemeClr val="accent1"/>
            </a:solidFill>
            <a:ln w="9525">
              <a:solidFill>
                <a:schemeClr val="accent1"/>
              </a:solidFill>
            </a:ln>
            <a:effectLst/>
          </c:spPr>
        </c:marker>
      </c:pivotFmt>
      <c:pivotFmt>
        <c:idx val="40"/>
        <c:spPr>
          <a:solidFill>
            <a:schemeClr val="accent1"/>
          </a:solidFill>
          <a:ln w="25400" cap="rnd">
            <a:noFill/>
            <a:round/>
          </a:ln>
          <a:effectLst/>
        </c:spPr>
        <c:marker>
          <c:spPr>
            <a:solidFill>
              <a:schemeClr val="accent1"/>
            </a:solidFill>
            <a:ln w="9525">
              <a:solidFill>
                <a:schemeClr val="accent1"/>
              </a:solidFill>
            </a:ln>
            <a:effectLst/>
          </c:spPr>
        </c:marker>
      </c:pivotFmt>
      <c:pivotFmt>
        <c:idx val="41"/>
        <c:spPr>
          <a:solidFill>
            <a:schemeClr val="accent1"/>
          </a:solidFill>
          <a:ln w="25400" cap="rnd">
            <a:noFill/>
            <a:round/>
          </a:ln>
          <a:effectLst/>
        </c:spPr>
        <c:marker>
          <c:spPr>
            <a:solidFill>
              <a:schemeClr val="accent1"/>
            </a:solidFill>
            <a:ln w="9525">
              <a:solidFill>
                <a:schemeClr val="accent1"/>
              </a:solidFill>
            </a:ln>
            <a:effectLst/>
          </c:spPr>
        </c:marker>
      </c:pivotFmt>
      <c:pivotFmt>
        <c:idx val="42"/>
        <c:spPr>
          <a:solidFill>
            <a:schemeClr val="accent1"/>
          </a:solidFill>
          <a:ln w="25400" cap="rnd">
            <a:noFill/>
            <a:round/>
          </a:ln>
          <a:effectLst/>
        </c:spPr>
        <c:marker>
          <c:spPr>
            <a:solidFill>
              <a:schemeClr val="accent1"/>
            </a:solidFill>
            <a:ln w="9525">
              <a:solidFill>
                <a:schemeClr val="accent1"/>
              </a:solidFill>
            </a:ln>
            <a:effectLst/>
          </c:spPr>
        </c:marker>
      </c:pivotFmt>
      <c:pivotFmt>
        <c:idx val="43"/>
        <c:spPr>
          <a:solidFill>
            <a:schemeClr val="accent1"/>
          </a:solidFill>
          <a:ln w="25400" cap="rnd">
            <a:noFill/>
            <a:round/>
          </a:ln>
          <a:effectLst/>
        </c:spPr>
        <c:marker>
          <c:spPr>
            <a:solidFill>
              <a:schemeClr val="accent1"/>
            </a:solidFill>
            <a:ln w="9525">
              <a:solidFill>
                <a:schemeClr val="accent1"/>
              </a:solidFill>
            </a:ln>
            <a:effectLst/>
          </c:spPr>
        </c:marker>
      </c:pivotFmt>
      <c:pivotFmt>
        <c:idx val="44"/>
        <c:spPr>
          <a:solidFill>
            <a:schemeClr val="accent1"/>
          </a:solidFill>
          <a:ln w="25400" cap="rnd">
            <a:noFill/>
            <a:round/>
          </a:ln>
          <a:effectLst/>
        </c:spPr>
        <c:marker>
          <c:spPr>
            <a:solidFill>
              <a:schemeClr val="accent1"/>
            </a:solidFill>
            <a:ln w="9525">
              <a:solidFill>
                <a:schemeClr val="accent1"/>
              </a:solidFill>
            </a:ln>
            <a:effectLst/>
          </c:spPr>
        </c:marker>
      </c:pivotFmt>
      <c:pivotFmt>
        <c:idx val="45"/>
        <c:spPr>
          <a:solidFill>
            <a:schemeClr val="accent1"/>
          </a:solidFill>
          <a:ln w="25400" cap="rnd">
            <a:noFill/>
            <a:round/>
          </a:ln>
          <a:effectLst/>
        </c:spPr>
        <c:marker>
          <c:spPr>
            <a:solidFill>
              <a:schemeClr val="accent1"/>
            </a:solidFill>
            <a:ln w="9525">
              <a:solidFill>
                <a:schemeClr val="accent1"/>
              </a:solidFill>
            </a:ln>
            <a:effectLst/>
          </c:spPr>
        </c:marker>
      </c:pivotFmt>
      <c:pivotFmt>
        <c:idx val="46"/>
        <c:spPr>
          <a:solidFill>
            <a:schemeClr val="accent1"/>
          </a:solidFill>
          <a:ln w="25400" cap="rnd">
            <a:noFill/>
            <a:round/>
          </a:ln>
          <a:effectLst/>
        </c:spPr>
        <c:marker>
          <c:spPr>
            <a:solidFill>
              <a:schemeClr val="accent1"/>
            </a:solidFill>
            <a:ln w="9525">
              <a:solidFill>
                <a:schemeClr val="accent1"/>
              </a:solidFill>
            </a:ln>
            <a:effectLst/>
          </c:spPr>
        </c:marker>
      </c:pivotFmt>
      <c:pivotFmt>
        <c:idx val="47"/>
        <c:spPr>
          <a:solidFill>
            <a:schemeClr val="accent1"/>
          </a:solidFill>
          <a:ln w="25400" cap="rnd">
            <a:noFill/>
            <a:round/>
          </a:ln>
          <a:effectLst/>
        </c:spPr>
        <c:marker>
          <c:spPr>
            <a:solidFill>
              <a:schemeClr val="accent1"/>
            </a:solidFill>
            <a:ln w="9525">
              <a:solidFill>
                <a:schemeClr val="accent1"/>
              </a:solidFill>
            </a:ln>
            <a:effectLst/>
          </c:spPr>
        </c:marker>
      </c:pivotFmt>
      <c:pivotFmt>
        <c:idx val="48"/>
        <c:spPr>
          <a:solidFill>
            <a:schemeClr val="accent1"/>
          </a:solidFill>
          <a:ln w="25400" cap="rnd">
            <a:noFill/>
            <a:round/>
          </a:ln>
          <a:effectLst/>
        </c:spPr>
        <c:marker>
          <c:spPr>
            <a:solidFill>
              <a:schemeClr val="accent1"/>
            </a:solidFill>
            <a:ln w="9525">
              <a:solidFill>
                <a:schemeClr val="accent1"/>
              </a:solidFill>
            </a:ln>
            <a:effectLst/>
          </c:spPr>
        </c:marker>
      </c:pivotFmt>
      <c:pivotFmt>
        <c:idx val="49"/>
        <c:spPr>
          <a:solidFill>
            <a:schemeClr val="accent1"/>
          </a:solidFill>
          <a:ln w="25400" cap="rnd">
            <a:noFill/>
            <a:round/>
          </a:ln>
          <a:effectLst/>
        </c:spPr>
        <c:marker>
          <c:spPr>
            <a:solidFill>
              <a:schemeClr val="accent1"/>
            </a:solidFill>
            <a:ln w="9525">
              <a:solidFill>
                <a:schemeClr val="accent1"/>
              </a:solidFill>
            </a:ln>
            <a:effectLst/>
          </c:spPr>
        </c:marker>
      </c:pivotFmt>
      <c:pivotFmt>
        <c:idx val="50"/>
        <c:spPr>
          <a:solidFill>
            <a:schemeClr val="accent1"/>
          </a:solidFill>
          <a:ln w="25400" cap="rnd">
            <a:noFill/>
            <a:round/>
          </a:ln>
          <a:effectLst/>
        </c:spPr>
        <c:marker>
          <c:spPr>
            <a:solidFill>
              <a:schemeClr val="accent1"/>
            </a:solidFill>
            <a:ln w="9525">
              <a:solidFill>
                <a:schemeClr val="accent1"/>
              </a:solidFill>
            </a:ln>
            <a:effectLst/>
          </c:spPr>
        </c:marker>
      </c:pivotFmt>
      <c:pivotFmt>
        <c:idx val="51"/>
        <c:spPr>
          <a:solidFill>
            <a:schemeClr val="accent1"/>
          </a:solidFill>
          <a:ln w="25400" cap="rnd">
            <a:noFill/>
            <a:round/>
          </a:ln>
          <a:effectLst/>
        </c:spPr>
        <c:marker>
          <c:spPr>
            <a:solidFill>
              <a:schemeClr val="accent1"/>
            </a:solidFill>
            <a:ln w="9525">
              <a:solidFill>
                <a:schemeClr val="accent1"/>
              </a:solidFill>
            </a:ln>
            <a:effectLst/>
          </c:spPr>
        </c:marker>
      </c:pivotFmt>
      <c:pivotFmt>
        <c:idx val="52"/>
        <c:spPr>
          <a:solidFill>
            <a:schemeClr val="accent1"/>
          </a:solidFill>
          <a:ln w="25400" cap="rnd">
            <a:noFill/>
            <a:round/>
          </a:ln>
          <a:effectLst/>
        </c:spPr>
        <c:marker>
          <c:spPr>
            <a:solidFill>
              <a:schemeClr val="accent1"/>
            </a:solidFill>
            <a:ln w="9525">
              <a:solidFill>
                <a:schemeClr val="accent1"/>
              </a:solidFill>
            </a:ln>
            <a:effectLst/>
          </c:spPr>
        </c:marker>
      </c:pivotFmt>
      <c:pivotFmt>
        <c:idx val="53"/>
        <c:spPr>
          <a:solidFill>
            <a:schemeClr val="accent1"/>
          </a:solidFill>
          <a:ln w="25400" cap="rnd">
            <a:noFill/>
            <a:round/>
          </a:ln>
          <a:effectLst/>
        </c:spPr>
        <c:marker>
          <c:spPr>
            <a:solidFill>
              <a:schemeClr val="accent1"/>
            </a:solidFill>
            <a:ln w="9525">
              <a:solidFill>
                <a:schemeClr val="accent1"/>
              </a:solidFill>
            </a:ln>
            <a:effectLst/>
          </c:spPr>
        </c:marker>
      </c:pivotFmt>
      <c:pivotFmt>
        <c:idx val="54"/>
        <c:spPr>
          <a:solidFill>
            <a:schemeClr val="accent1"/>
          </a:solidFill>
          <a:ln w="25400" cap="rnd">
            <a:noFill/>
            <a:round/>
          </a:ln>
          <a:effectLst/>
        </c:spPr>
        <c:marker>
          <c:spPr>
            <a:solidFill>
              <a:schemeClr val="accent1"/>
            </a:solidFill>
            <a:ln w="9525">
              <a:solidFill>
                <a:schemeClr val="accent1"/>
              </a:solidFill>
            </a:ln>
            <a:effectLst/>
          </c:spPr>
        </c:marker>
      </c:pivotFmt>
      <c:pivotFmt>
        <c:idx val="55"/>
        <c:spPr>
          <a:solidFill>
            <a:schemeClr val="accent1"/>
          </a:solidFill>
          <a:ln w="25400" cap="rnd">
            <a:noFill/>
            <a:round/>
          </a:ln>
          <a:effectLst/>
        </c:spPr>
        <c:marker>
          <c:spPr>
            <a:solidFill>
              <a:schemeClr val="accent1"/>
            </a:solidFill>
            <a:ln w="9525">
              <a:solidFill>
                <a:schemeClr val="accent1"/>
              </a:solidFill>
            </a:ln>
            <a:effectLst/>
          </c:spPr>
        </c:marker>
      </c:pivotFmt>
      <c:pivotFmt>
        <c:idx val="56"/>
        <c:spPr>
          <a:solidFill>
            <a:schemeClr val="accent1"/>
          </a:solidFill>
          <a:ln w="25400" cap="rnd">
            <a:noFill/>
            <a:round/>
          </a:ln>
          <a:effectLst/>
        </c:spPr>
        <c:marker>
          <c:spPr>
            <a:solidFill>
              <a:schemeClr val="accent1"/>
            </a:solidFill>
            <a:ln w="9525">
              <a:solidFill>
                <a:schemeClr val="accent1"/>
              </a:solidFill>
            </a:ln>
            <a:effectLst/>
          </c:spPr>
        </c:marker>
      </c:pivotFmt>
      <c:pivotFmt>
        <c:idx val="57"/>
        <c:spPr>
          <a:solidFill>
            <a:schemeClr val="accent1"/>
          </a:solidFill>
          <a:ln w="25400" cap="rnd">
            <a:noFill/>
            <a:round/>
          </a:ln>
          <a:effectLst/>
        </c:spPr>
        <c:marker>
          <c:spPr>
            <a:solidFill>
              <a:schemeClr val="accent1"/>
            </a:solidFill>
            <a:ln w="9525">
              <a:solidFill>
                <a:schemeClr val="accent1"/>
              </a:solidFill>
            </a:ln>
            <a:effectLst/>
          </c:spPr>
        </c:marker>
      </c:pivotFmt>
      <c:pivotFmt>
        <c:idx val="58"/>
        <c:spPr>
          <a:solidFill>
            <a:schemeClr val="accent1"/>
          </a:solidFill>
          <a:ln w="25400" cap="rnd">
            <a:noFill/>
            <a:round/>
          </a:ln>
          <a:effectLst/>
        </c:spPr>
        <c:marker>
          <c:spPr>
            <a:solidFill>
              <a:schemeClr val="accent1"/>
            </a:solidFill>
            <a:ln w="9525">
              <a:solidFill>
                <a:schemeClr val="accent1"/>
              </a:solidFill>
            </a:ln>
            <a:effectLst/>
          </c:spPr>
        </c:marker>
      </c:pivotFmt>
      <c:pivotFmt>
        <c:idx val="59"/>
        <c:spPr>
          <a:solidFill>
            <a:schemeClr val="accent1"/>
          </a:solidFill>
          <a:ln w="25400" cap="rnd">
            <a:noFill/>
            <a:round/>
          </a:ln>
          <a:effectLst/>
        </c:spPr>
        <c:marker>
          <c:spPr>
            <a:solidFill>
              <a:schemeClr val="accent1"/>
            </a:solidFill>
            <a:ln w="9525">
              <a:solidFill>
                <a:schemeClr val="accent1"/>
              </a:solidFill>
            </a:ln>
            <a:effectLst/>
          </c:spPr>
        </c:marker>
      </c:pivotFmt>
      <c:pivotFmt>
        <c:idx val="60"/>
        <c:spPr>
          <a:solidFill>
            <a:schemeClr val="accent1"/>
          </a:solidFill>
          <a:ln w="25400" cap="rnd">
            <a:noFill/>
            <a:round/>
          </a:ln>
          <a:effectLst/>
        </c:spPr>
        <c:marker>
          <c:spPr>
            <a:solidFill>
              <a:schemeClr val="accent1"/>
            </a:solidFill>
            <a:ln w="9525">
              <a:solidFill>
                <a:schemeClr val="accent1"/>
              </a:solidFill>
            </a:ln>
            <a:effectLst/>
          </c:spPr>
        </c:marker>
      </c:pivotFmt>
      <c:pivotFmt>
        <c:idx val="61"/>
        <c:spPr>
          <a:solidFill>
            <a:schemeClr val="accent1"/>
          </a:solidFill>
          <a:ln w="25400" cap="rnd">
            <a:noFill/>
            <a:round/>
          </a:ln>
          <a:effectLst/>
        </c:spPr>
        <c:marker>
          <c:spPr>
            <a:solidFill>
              <a:schemeClr val="accent1"/>
            </a:solidFill>
            <a:ln w="9525">
              <a:solidFill>
                <a:schemeClr val="accent1"/>
              </a:solidFill>
            </a:ln>
            <a:effectLst/>
          </c:spPr>
        </c:marker>
      </c:pivotFmt>
      <c:pivotFmt>
        <c:idx val="62"/>
        <c:spPr>
          <a:solidFill>
            <a:schemeClr val="accent1"/>
          </a:solidFill>
          <a:ln w="25400" cap="rnd">
            <a:noFill/>
            <a:round/>
          </a:ln>
          <a:effectLst/>
        </c:spPr>
        <c:marker>
          <c:spPr>
            <a:solidFill>
              <a:schemeClr val="accent1"/>
            </a:solidFill>
            <a:ln w="9525">
              <a:solidFill>
                <a:schemeClr val="accent1"/>
              </a:solidFill>
            </a:ln>
            <a:effectLst/>
          </c:spPr>
        </c:marker>
      </c:pivotFmt>
      <c:pivotFmt>
        <c:idx val="63"/>
        <c:spPr>
          <a:solidFill>
            <a:schemeClr val="accent1"/>
          </a:solidFill>
          <a:ln w="25400" cap="rnd">
            <a:noFill/>
            <a:round/>
          </a:ln>
          <a:effectLst/>
        </c:spPr>
        <c:marker>
          <c:spPr>
            <a:solidFill>
              <a:schemeClr val="accent1"/>
            </a:solidFill>
            <a:ln w="9525">
              <a:solidFill>
                <a:schemeClr val="accent1"/>
              </a:solidFill>
            </a:ln>
            <a:effectLst/>
          </c:spPr>
        </c:marker>
      </c:pivotFmt>
      <c:pivotFmt>
        <c:idx val="64"/>
        <c:spPr>
          <a:solidFill>
            <a:schemeClr val="accent1"/>
          </a:solidFill>
          <a:ln w="25400" cap="rnd">
            <a:noFill/>
            <a:round/>
          </a:ln>
          <a:effectLst/>
        </c:spPr>
        <c:marker>
          <c:spPr>
            <a:solidFill>
              <a:schemeClr val="accent1"/>
            </a:solidFill>
            <a:ln w="9525">
              <a:solidFill>
                <a:schemeClr val="accent1"/>
              </a:solidFill>
            </a:ln>
            <a:effectLst/>
          </c:spPr>
        </c:marker>
      </c:pivotFmt>
      <c:pivotFmt>
        <c:idx val="65"/>
        <c:spPr>
          <a:solidFill>
            <a:schemeClr val="accent1"/>
          </a:solidFill>
          <a:ln w="25400" cap="rnd">
            <a:noFill/>
            <a:round/>
          </a:ln>
          <a:effectLst/>
        </c:spPr>
        <c:marker>
          <c:spPr>
            <a:solidFill>
              <a:schemeClr val="accent1"/>
            </a:solidFill>
            <a:ln w="9525">
              <a:solidFill>
                <a:schemeClr val="accent1"/>
              </a:solidFill>
            </a:ln>
            <a:effectLst/>
          </c:spPr>
        </c:marker>
      </c:pivotFmt>
      <c:pivotFmt>
        <c:idx val="66"/>
        <c:spPr>
          <a:solidFill>
            <a:schemeClr val="accent1"/>
          </a:solidFill>
          <a:ln w="25400" cap="rnd">
            <a:noFill/>
            <a:round/>
          </a:ln>
          <a:effectLst/>
        </c:spPr>
        <c:marker>
          <c:spPr>
            <a:solidFill>
              <a:schemeClr val="accent1"/>
            </a:solidFill>
            <a:ln w="9525">
              <a:solidFill>
                <a:schemeClr val="accent1"/>
              </a:solidFill>
            </a:ln>
            <a:effectLst/>
          </c:spPr>
        </c:marker>
      </c:pivotFmt>
      <c:pivotFmt>
        <c:idx val="67"/>
        <c:spPr>
          <a:solidFill>
            <a:schemeClr val="accent1"/>
          </a:solidFill>
          <a:ln w="25400" cap="rnd">
            <a:noFill/>
            <a:round/>
          </a:ln>
          <a:effectLst/>
        </c:spPr>
        <c:marker>
          <c:spPr>
            <a:solidFill>
              <a:schemeClr val="accent1"/>
            </a:solidFill>
            <a:ln w="9525">
              <a:solidFill>
                <a:schemeClr val="accent1"/>
              </a:solidFill>
            </a:ln>
            <a:effectLst/>
          </c:spPr>
        </c:marker>
      </c:pivotFmt>
      <c:pivotFmt>
        <c:idx val="68"/>
        <c:spPr>
          <a:solidFill>
            <a:schemeClr val="accent1"/>
          </a:solidFill>
          <a:ln w="25400" cap="rnd">
            <a:noFill/>
            <a:round/>
          </a:ln>
          <a:effectLst/>
        </c:spPr>
        <c:marker>
          <c:spPr>
            <a:solidFill>
              <a:schemeClr val="accent1"/>
            </a:solidFill>
            <a:ln w="9525">
              <a:solidFill>
                <a:schemeClr val="accent1"/>
              </a:solidFill>
            </a:ln>
            <a:effectLst/>
          </c:spPr>
        </c:marker>
      </c:pivotFmt>
      <c:pivotFmt>
        <c:idx val="69"/>
        <c:spPr>
          <a:solidFill>
            <a:schemeClr val="accent1"/>
          </a:solidFill>
          <a:ln w="25400" cap="rnd">
            <a:noFill/>
            <a:round/>
          </a:ln>
          <a:effectLst/>
        </c:spPr>
        <c:marker>
          <c:spPr>
            <a:solidFill>
              <a:schemeClr val="accent1"/>
            </a:solidFill>
            <a:ln w="9525">
              <a:solidFill>
                <a:schemeClr val="accent1"/>
              </a:solidFill>
            </a:ln>
            <a:effectLst/>
          </c:spPr>
        </c:marker>
      </c:pivotFmt>
      <c:pivotFmt>
        <c:idx val="70"/>
        <c:spPr>
          <a:solidFill>
            <a:schemeClr val="accent1"/>
          </a:solidFill>
          <a:ln w="25400" cap="rnd">
            <a:noFill/>
            <a:round/>
          </a:ln>
          <a:effectLst/>
        </c:spPr>
        <c:marker>
          <c:spPr>
            <a:solidFill>
              <a:schemeClr val="accent1"/>
            </a:solidFill>
            <a:ln w="9525">
              <a:solidFill>
                <a:schemeClr val="accent1"/>
              </a:solidFill>
            </a:ln>
            <a:effectLst/>
          </c:spPr>
        </c:marker>
      </c:pivotFmt>
      <c:pivotFmt>
        <c:idx val="71"/>
        <c:spPr>
          <a:solidFill>
            <a:schemeClr val="accent1"/>
          </a:solidFill>
          <a:ln w="25400" cap="rnd">
            <a:noFill/>
            <a:round/>
          </a:ln>
          <a:effectLst/>
        </c:spPr>
        <c:marker>
          <c:spPr>
            <a:solidFill>
              <a:schemeClr val="accent1"/>
            </a:solidFill>
            <a:ln w="9525">
              <a:solidFill>
                <a:schemeClr val="accent1"/>
              </a:solidFill>
            </a:ln>
            <a:effectLst/>
          </c:spPr>
        </c:marker>
      </c:pivotFmt>
      <c:pivotFmt>
        <c:idx val="72"/>
        <c:spPr>
          <a:solidFill>
            <a:schemeClr val="accent1"/>
          </a:solidFill>
          <a:ln w="25400" cap="rnd">
            <a:noFill/>
            <a:round/>
          </a:ln>
          <a:effectLst/>
        </c:spPr>
        <c:marker>
          <c:spPr>
            <a:solidFill>
              <a:schemeClr val="accent1"/>
            </a:solidFill>
            <a:ln w="9525">
              <a:solidFill>
                <a:schemeClr val="accent1"/>
              </a:solidFill>
            </a:ln>
            <a:effectLst/>
          </c:spPr>
        </c:marker>
      </c:pivotFmt>
      <c:pivotFmt>
        <c:idx val="73"/>
        <c:spPr>
          <a:solidFill>
            <a:schemeClr val="accent1"/>
          </a:solidFill>
          <a:ln w="25400" cap="rnd">
            <a:noFill/>
            <a:round/>
          </a:ln>
          <a:effectLst/>
        </c:spPr>
        <c:marker>
          <c:spPr>
            <a:solidFill>
              <a:schemeClr val="accent1"/>
            </a:solidFill>
            <a:ln w="9525">
              <a:solidFill>
                <a:schemeClr val="accent1"/>
              </a:solidFill>
            </a:ln>
            <a:effectLst/>
          </c:spPr>
        </c:marker>
      </c:pivotFmt>
      <c:pivotFmt>
        <c:idx val="74"/>
        <c:spPr>
          <a:solidFill>
            <a:schemeClr val="accent1"/>
          </a:solidFill>
          <a:ln w="25400" cap="rnd">
            <a:noFill/>
            <a:round/>
          </a:ln>
          <a:effectLst/>
        </c:spPr>
        <c:marker>
          <c:spPr>
            <a:solidFill>
              <a:schemeClr val="accent1"/>
            </a:solidFill>
            <a:ln w="9525">
              <a:solidFill>
                <a:schemeClr val="accent1"/>
              </a:solidFill>
            </a:ln>
            <a:effectLst/>
          </c:spPr>
        </c:marker>
      </c:pivotFmt>
      <c:pivotFmt>
        <c:idx val="75"/>
        <c:spPr>
          <a:solidFill>
            <a:schemeClr val="accent1"/>
          </a:solidFill>
          <a:ln w="25400" cap="rnd">
            <a:noFill/>
            <a:round/>
          </a:ln>
          <a:effectLst/>
        </c:spPr>
        <c:marker>
          <c:spPr>
            <a:solidFill>
              <a:schemeClr val="accent1"/>
            </a:solidFill>
            <a:ln w="9525">
              <a:solidFill>
                <a:schemeClr val="accent1"/>
              </a:solidFill>
            </a:ln>
            <a:effectLst/>
          </c:spPr>
        </c:marker>
      </c:pivotFmt>
      <c:pivotFmt>
        <c:idx val="76"/>
        <c:spPr>
          <a:solidFill>
            <a:schemeClr val="accent1"/>
          </a:solidFill>
          <a:ln w="25400" cap="rnd">
            <a:noFill/>
            <a:round/>
          </a:ln>
          <a:effectLst/>
        </c:spPr>
        <c:marker>
          <c:spPr>
            <a:solidFill>
              <a:schemeClr val="accent1"/>
            </a:solidFill>
            <a:ln w="9525">
              <a:solidFill>
                <a:schemeClr val="accent1"/>
              </a:solidFill>
            </a:ln>
            <a:effectLst/>
          </c:spPr>
        </c:marker>
      </c:pivotFmt>
      <c:pivotFmt>
        <c:idx val="77"/>
        <c:spPr>
          <a:solidFill>
            <a:schemeClr val="accent1"/>
          </a:solidFill>
          <a:ln w="25400" cap="rnd">
            <a:noFill/>
            <a:round/>
          </a:ln>
          <a:effectLst/>
        </c:spPr>
        <c:marker>
          <c:spPr>
            <a:solidFill>
              <a:schemeClr val="accent1"/>
            </a:solidFill>
            <a:ln w="9525">
              <a:solidFill>
                <a:schemeClr val="accent1"/>
              </a:solidFill>
            </a:ln>
            <a:effectLst/>
          </c:spPr>
        </c:marker>
      </c:pivotFmt>
      <c:pivotFmt>
        <c:idx val="78"/>
        <c:spPr>
          <a:solidFill>
            <a:schemeClr val="accent1"/>
          </a:solidFill>
          <a:ln w="25400" cap="rnd">
            <a:noFill/>
            <a:round/>
          </a:ln>
          <a:effectLst/>
        </c:spPr>
        <c:marker>
          <c:spPr>
            <a:solidFill>
              <a:schemeClr val="accent1"/>
            </a:solidFill>
            <a:ln w="9525">
              <a:solidFill>
                <a:schemeClr val="accent1"/>
              </a:solidFill>
            </a:ln>
            <a:effectLst/>
          </c:spPr>
        </c:marker>
      </c:pivotFmt>
      <c:pivotFmt>
        <c:idx val="79"/>
        <c:spPr>
          <a:solidFill>
            <a:schemeClr val="accent1"/>
          </a:solidFill>
          <a:ln w="25400" cap="rnd">
            <a:noFill/>
            <a:round/>
          </a:ln>
          <a:effectLst/>
        </c:spPr>
        <c:marker>
          <c:spPr>
            <a:solidFill>
              <a:schemeClr val="accent1"/>
            </a:solidFill>
            <a:ln w="9525">
              <a:solidFill>
                <a:schemeClr val="accent1"/>
              </a:solidFill>
            </a:ln>
            <a:effectLst/>
          </c:spPr>
        </c:marker>
      </c:pivotFmt>
      <c:pivotFmt>
        <c:idx val="80"/>
        <c:spPr>
          <a:solidFill>
            <a:schemeClr val="accent1"/>
          </a:solidFill>
          <a:ln w="28575" cap="rnd">
            <a:noFill/>
            <a:round/>
          </a:ln>
          <a:effectLst/>
        </c:spPr>
        <c:marker>
          <c:symbol val="circle"/>
          <c:size val="5"/>
          <c:spPr>
            <a:solidFill>
              <a:schemeClr val="accent1"/>
            </a:solidFill>
            <a:ln w="9525">
              <a:solidFill>
                <a:schemeClr val="accent1"/>
              </a:solidFill>
            </a:ln>
            <a:effectLst/>
          </c:spPr>
        </c:marker>
      </c:pivotFmt>
      <c:pivotFmt>
        <c:idx val="81"/>
        <c:spPr>
          <a:solidFill>
            <a:schemeClr val="accent1"/>
          </a:solidFill>
          <a:ln w="28575" cap="rnd">
            <a:noFill/>
            <a:round/>
          </a:ln>
          <a:effectLst/>
        </c:spPr>
        <c:marker>
          <c:symbol val="circle"/>
          <c:size val="5"/>
          <c:spPr>
            <a:solidFill>
              <a:schemeClr val="accent1"/>
            </a:solidFill>
            <a:ln w="9525">
              <a:solidFill>
                <a:schemeClr val="accent1"/>
              </a:solidFill>
            </a:ln>
            <a:effectLst/>
          </c:spPr>
        </c:marker>
      </c:pivotFmt>
      <c:pivotFmt>
        <c:idx val="82"/>
        <c:spPr>
          <a:solidFill>
            <a:schemeClr val="accent1"/>
          </a:solidFill>
          <a:ln w="25400" cap="rnd">
            <a:noFill/>
            <a:round/>
          </a:ln>
          <a:effectLst/>
        </c:spPr>
        <c:marker>
          <c:symbol val="circle"/>
          <c:size val="5"/>
          <c:spPr>
            <a:solidFill>
              <a:schemeClr val="accent2"/>
            </a:solidFill>
            <a:ln w="9525">
              <a:solidFill>
                <a:schemeClr val="accent2"/>
              </a:solidFill>
            </a:ln>
            <a:effectLst/>
          </c:spPr>
        </c:marker>
      </c:pivotFmt>
      <c:pivotFmt>
        <c:idx val="83"/>
        <c:spPr>
          <a:solidFill>
            <a:schemeClr val="accent1"/>
          </a:solidFill>
          <a:ln w="25400" cap="rnd">
            <a:noFill/>
            <a:round/>
          </a:ln>
          <a:effectLst/>
        </c:spPr>
        <c:marker>
          <c:symbol val="circle"/>
          <c:size val="5"/>
          <c:spPr>
            <a:solidFill>
              <a:schemeClr val="accent3"/>
            </a:solidFill>
            <a:ln w="9525">
              <a:solidFill>
                <a:schemeClr val="accent3"/>
              </a:solidFill>
            </a:ln>
            <a:effectLst/>
          </c:spPr>
        </c:marker>
      </c:pivotFmt>
      <c:pivotFmt>
        <c:idx val="84"/>
        <c:spPr>
          <a:solidFill>
            <a:schemeClr val="accent1"/>
          </a:solidFill>
          <a:ln w="25400" cap="rnd">
            <a:noFill/>
            <a:round/>
          </a:ln>
          <a:effectLst/>
        </c:spPr>
        <c:marker>
          <c:symbol val="circle"/>
          <c:size val="5"/>
          <c:spPr>
            <a:solidFill>
              <a:schemeClr val="accent4"/>
            </a:solidFill>
            <a:ln w="9525">
              <a:solidFill>
                <a:schemeClr val="accent4"/>
              </a:solidFill>
            </a:ln>
            <a:effectLst/>
          </c:spPr>
        </c:marker>
      </c:pivotFmt>
      <c:pivotFmt>
        <c:idx val="85"/>
        <c:spPr>
          <a:solidFill>
            <a:schemeClr val="accent1"/>
          </a:solidFill>
          <a:ln w="25400" cap="rnd">
            <a:noFill/>
            <a:round/>
          </a:ln>
          <a:effectLst/>
        </c:spPr>
        <c:marker>
          <c:symbol val="circle"/>
          <c:size val="5"/>
          <c:spPr>
            <a:solidFill>
              <a:schemeClr val="accent5"/>
            </a:solidFill>
            <a:ln w="9525">
              <a:solidFill>
                <a:schemeClr val="accent5"/>
              </a:solidFill>
            </a:ln>
            <a:effectLst/>
          </c:spPr>
        </c:marker>
      </c:pivotFmt>
      <c:pivotFmt>
        <c:idx val="86"/>
        <c:spPr>
          <a:solidFill>
            <a:schemeClr val="accent1"/>
          </a:solidFill>
          <a:ln w="25400" cap="rnd">
            <a:noFill/>
            <a:round/>
          </a:ln>
          <a:effectLst/>
        </c:spPr>
        <c:marker>
          <c:symbol val="circle"/>
          <c:size val="5"/>
          <c:spPr>
            <a:solidFill>
              <a:schemeClr val="accent6"/>
            </a:solidFill>
            <a:ln w="9525">
              <a:solidFill>
                <a:schemeClr val="accent6"/>
              </a:solidFill>
            </a:ln>
            <a:effectLst/>
          </c:spPr>
        </c:marker>
      </c:pivotFmt>
      <c:pivotFmt>
        <c:idx val="87"/>
        <c:spPr>
          <a:solidFill>
            <a:schemeClr val="accent1"/>
          </a:solidFill>
          <a:ln w="25400" cap="rnd">
            <a:noFill/>
            <a:round/>
          </a:ln>
          <a:effectLst/>
        </c:spPr>
        <c:marker>
          <c:symbol val="circle"/>
          <c:size val="5"/>
          <c:spPr>
            <a:solidFill>
              <a:schemeClr val="accent1"/>
            </a:solidFill>
            <a:ln w="9525">
              <a:solidFill>
                <a:schemeClr val="accent1"/>
              </a:solidFill>
            </a:ln>
            <a:effectLst/>
          </c:spPr>
        </c:marker>
      </c:pivotFmt>
      <c:pivotFmt>
        <c:idx val="88"/>
        <c:spPr>
          <a:solidFill>
            <a:schemeClr val="accent1"/>
          </a:solidFill>
          <a:ln w="28575" cap="rnd">
            <a:no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89"/>
        <c:spPr>
          <a:solidFill>
            <a:schemeClr val="accent1"/>
          </a:solidFill>
          <a:ln w="28575" cap="rnd">
            <a:no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90"/>
        <c:spPr>
          <a:solidFill>
            <a:schemeClr val="accent1"/>
          </a:solidFill>
          <a:ln w="28575" cap="rnd">
            <a:no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91"/>
        <c:spPr>
          <a:solidFill>
            <a:schemeClr val="accent1"/>
          </a:solidFill>
          <a:ln w="25400" cap="rnd">
            <a:no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92"/>
        <c:spPr>
          <a:solidFill>
            <a:schemeClr val="accent1"/>
          </a:solidFill>
          <a:ln w="28575" cap="rnd">
            <a:noFill/>
            <a:round/>
          </a:ln>
          <a:effectLst/>
        </c:spPr>
        <c:marker>
          <c:symbol val="circle"/>
          <c:size val="5"/>
          <c:spPr>
            <a:solidFill>
              <a:schemeClr val="accent1"/>
            </a:solidFill>
            <a:ln w="9525">
              <a:solidFill>
                <a:schemeClr val="accent1"/>
              </a:solidFill>
            </a:ln>
            <a:effectLst/>
          </c:spPr>
        </c:marker>
      </c:pivotFmt>
      <c:pivotFmt>
        <c:idx val="93"/>
        <c:spPr>
          <a:solidFill>
            <a:schemeClr val="accent1"/>
          </a:solidFill>
          <a:ln w="25400" cap="rnd">
            <a:noFill/>
            <a:round/>
          </a:ln>
          <a:effectLst/>
        </c:spPr>
        <c:marker>
          <c:symbol val="circle"/>
          <c:size val="5"/>
          <c:spPr>
            <a:solidFill>
              <a:schemeClr val="accent2"/>
            </a:solidFill>
            <a:ln w="9525">
              <a:solidFill>
                <a:schemeClr val="accent2"/>
              </a:solidFill>
            </a:ln>
            <a:effectLst/>
          </c:spPr>
        </c:marker>
      </c:pivotFmt>
      <c:pivotFmt>
        <c:idx val="94"/>
        <c:spPr>
          <a:solidFill>
            <a:schemeClr val="accent1"/>
          </a:solidFill>
          <a:ln w="25400" cap="rnd">
            <a:noFill/>
            <a:round/>
          </a:ln>
          <a:effectLst/>
        </c:spPr>
        <c:marker>
          <c:symbol val="circle"/>
          <c:size val="5"/>
          <c:spPr>
            <a:solidFill>
              <a:schemeClr val="accent3"/>
            </a:solidFill>
            <a:ln w="9525">
              <a:solidFill>
                <a:schemeClr val="accent3"/>
              </a:solidFill>
            </a:ln>
            <a:effectLst/>
          </c:spPr>
        </c:marker>
      </c:pivotFmt>
      <c:pivotFmt>
        <c:idx val="95"/>
        <c:spPr>
          <a:solidFill>
            <a:schemeClr val="accent1"/>
          </a:solidFill>
          <a:ln w="25400" cap="rnd">
            <a:noFill/>
            <a:round/>
          </a:ln>
          <a:effectLst/>
        </c:spPr>
        <c:marker>
          <c:symbol val="circle"/>
          <c:size val="5"/>
          <c:spPr>
            <a:solidFill>
              <a:schemeClr val="accent4"/>
            </a:solidFill>
            <a:ln w="9525">
              <a:solidFill>
                <a:schemeClr val="accent4"/>
              </a:solidFill>
            </a:ln>
            <a:effectLst/>
          </c:spPr>
        </c:marker>
      </c:pivotFmt>
      <c:pivotFmt>
        <c:idx val="96"/>
        <c:spPr>
          <a:solidFill>
            <a:schemeClr val="accent1"/>
          </a:solidFill>
          <a:ln w="25400" cap="rnd">
            <a:noFill/>
            <a:round/>
          </a:ln>
          <a:effectLst/>
        </c:spPr>
        <c:marker>
          <c:symbol val="circle"/>
          <c:size val="5"/>
          <c:spPr>
            <a:solidFill>
              <a:schemeClr val="accent5"/>
            </a:solidFill>
            <a:ln w="9525">
              <a:solidFill>
                <a:schemeClr val="accent5"/>
              </a:solidFill>
            </a:ln>
            <a:effectLst/>
          </c:spPr>
        </c:marker>
      </c:pivotFmt>
      <c:pivotFmt>
        <c:idx val="97"/>
        <c:spPr>
          <a:solidFill>
            <a:schemeClr val="accent1"/>
          </a:solidFill>
          <a:ln w="25400" cap="rnd">
            <a:noFill/>
            <a:round/>
          </a:ln>
          <a:effectLst/>
        </c:spPr>
        <c:marker>
          <c:symbol val="circle"/>
          <c:size val="5"/>
          <c:spPr>
            <a:solidFill>
              <a:schemeClr val="accent6"/>
            </a:solidFill>
            <a:ln w="9525">
              <a:solidFill>
                <a:schemeClr val="accent6"/>
              </a:solidFill>
            </a:ln>
            <a:effectLst/>
          </c:spPr>
        </c:marker>
      </c:pivotFmt>
      <c:pivotFmt>
        <c:idx val="98"/>
        <c:spPr>
          <a:solidFill>
            <a:schemeClr val="accent1"/>
          </a:solidFill>
          <a:ln w="28575" cap="rnd">
            <a:no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99"/>
        <c:spPr>
          <a:solidFill>
            <a:schemeClr val="accent1"/>
          </a:solidFill>
          <a:ln w="25400" cap="rnd">
            <a:no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100"/>
        <c:spPr>
          <a:solidFill>
            <a:schemeClr val="accent1"/>
          </a:solidFill>
          <a:ln w="28575" cap="rnd">
            <a:noFill/>
            <a:round/>
          </a:ln>
          <a:effectLst/>
        </c:spPr>
        <c:marker>
          <c:symbol val="circle"/>
          <c:size val="5"/>
          <c:spPr>
            <a:solidFill>
              <a:schemeClr val="accent1"/>
            </a:solidFill>
            <a:ln w="9525">
              <a:solidFill>
                <a:schemeClr val="accent1"/>
              </a:solidFill>
            </a:ln>
            <a:effectLst/>
          </c:spPr>
        </c:marker>
      </c:pivotFmt>
      <c:pivotFmt>
        <c:idx val="101"/>
        <c:spPr>
          <a:solidFill>
            <a:schemeClr val="accent1"/>
          </a:solidFill>
          <a:ln w="25400" cap="rnd">
            <a:noFill/>
            <a:round/>
          </a:ln>
          <a:effectLst/>
        </c:spPr>
        <c:marker>
          <c:symbol val="circle"/>
          <c:size val="5"/>
          <c:spPr>
            <a:solidFill>
              <a:schemeClr val="accent2"/>
            </a:solidFill>
            <a:ln w="9525">
              <a:solidFill>
                <a:schemeClr val="accent2"/>
              </a:solidFill>
            </a:ln>
            <a:effectLst/>
          </c:spPr>
        </c:marker>
      </c:pivotFmt>
      <c:pivotFmt>
        <c:idx val="102"/>
        <c:spPr>
          <a:solidFill>
            <a:schemeClr val="accent1"/>
          </a:solidFill>
          <a:ln w="25400" cap="rnd">
            <a:noFill/>
            <a:round/>
          </a:ln>
          <a:effectLst/>
        </c:spPr>
        <c:marker>
          <c:symbol val="circle"/>
          <c:size val="5"/>
          <c:spPr>
            <a:solidFill>
              <a:schemeClr val="accent3"/>
            </a:solidFill>
            <a:ln w="9525">
              <a:solidFill>
                <a:schemeClr val="accent3"/>
              </a:solidFill>
            </a:ln>
            <a:effectLst/>
          </c:spPr>
        </c:marker>
      </c:pivotFmt>
      <c:pivotFmt>
        <c:idx val="103"/>
        <c:spPr>
          <a:solidFill>
            <a:schemeClr val="accent1"/>
          </a:solidFill>
          <a:ln w="25400" cap="rnd">
            <a:noFill/>
            <a:round/>
          </a:ln>
          <a:effectLst/>
        </c:spPr>
        <c:marker>
          <c:symbol val="circle"/>
          <c:size val="5"/>
          <c:spPr>
            <a:solidFill>
              <a:schemeClr val="accent4"/>
            </a:solidFill>
            <a:ln w="9525">
              <a:solidFill>
                <a:schemeClr val="accent4"/>
              </a:solidFill>
            </a:ln>
            <a:effectLst/>
          </c:spPr>
        </c:marker>
      </c:pivotFmt>
      <c:pivotFmt>
        <c:idx val="104"/>
        <c:spPr>
          <a:solidFill>
            <a:schemeClr val="accent1"/>
          </a:solidFill>
          <a:ln w="25400" cap="rnd">
            <a:noFill/>
            <a:round/>
          </a:ln>
          <a:effectLst/>
        </c:spPr>
        <c:marker>
          <c:symbol val="circle"/>
          <c:size val="5"/>
          <c:spPr>
            <a:solidFill>
              <a:schemeClr val="accent5"/>
            </a:solidFill>
            <a:ln w="9525">
              <a:solidFill>
                <a:schemeClr val="accent5"/>
              </a:solidFill>
            </a:ln>
            <a:effectLst/>
          </c:spPr>
        </c:marker>
      </c:pivotFmt>
      <c:pivotFmt>
        <c:idx val="105"/>
        <c:spPr>
          <a:solidFill>
            <a:schemeClr val="accent1"/>
          </a:solidFill>
          <a:ln w="25400" cap="rnd">
            <a:noFill/>
            <a:round/>
          </a:ln>
          <a:effectLst/>
        </c:spPr>
        <c:marker>
          <c:symbol val="circle"/>
          <c:size val="5"/>
          <c:spPr>
            <a:solidFill>
              <a:schemeClr val="accent6"/>
            </a:solidFill>
            <a:ln w="9525">
              <a:solidFill>
                <a:schemeClr val="accent6"/>
              </a:solidFill>
            </a:ln>
            <a:effectLst/>
          </c:spPr>
        </c:marker>
      </c:pivotFmt>
      <c:pivotFmt>
        <c:idx val="106"/>
        <c:spPr>
          <a:solidFill>
            <a:schemeClr val="accent1"/>
          </a:solidFill>
          <a:ln w="28575" cap="rnd">
            <a:no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107"/>
        <c:spPr>
          <a:solidFill>
            <a:schemeClr val="accent1"/>
          </a:solidFill>
          <a:ln w="25400" cap="rnd">
            <a:noFill/>
            <a:round/>
          </a:ln>
          <a:effectLst/>
        </c:spPr>
        <c:marker>
          <c:symbol val="circle"/>
          <c:size val="5"/>
          <c:spPr>
            <a:solidFill>
              <a:schemeClr val="accent2">
                <a:lumMod val="60000"/>
              </a:schemeClr>
            </a:solidFill>
            <a:ln w="9525">
              <a:solidFill>
                <a:schemeClr val="accent2">
                  <a:lumMod val="60000"/>
                </a:schemeClr>
              </a:solidFill>
            </a:ln>
            <a:effectLst/>
          </c:spPr>
        </c:marker>
      </c:pivotFmt>
    </c:pivotFmts>
    <c:plotArea>
      <c:layout/>
      <c:lineChart>
        <c:grouping val="standard"/>
        <c:varyColors val="0"/>
        <c:ser>
          <c:idx val="0"/>
          <c:order val="0"/>
          <c:tx>
            <c:strRef>
              <c:f>Analysis!$L$71:$L$72</c:f>
              <c:strCache>
                <c:ptCount val="1"/>
                <c:pt idx="0">
                  <c:v>2010</c:v>
                </c:pt>
              </c:strCache>
            </c:strRef>
          </c:tx>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movingAvg"/>
            <c:period val="3"/>
            <c:dispRSqr val="0"/>
            <c:dispEq val="0"/>
          </c:trendline>
          <c:cat>
            <c:multiLvlStrRef>
              <c:f>Analysis!$K$73:$K$259</c:f>
              <c:multiLvlStrCache>
                <c:ptCount val="93"/>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pt idx="15">
                    <c:v>Apr</c:v>
                  </c:pt>
                  <c:pt idx="16">
                    <c:v>May</c:v>
                  </c:pt>
                  <c:pt idx="17">
                    <c:v>Jun</c:v>
                  </c:pt>
                  <c:pt idx="18">
                    <c:v>Jul</c:v>
                  </c:pt>
                  <c:pt idx="19">
                    <c:v>Aug</c:v>
                  </c:pt>
                  <c:pt idx="20">
                    <c:v>Sep</c:v>
                  </c:pt>
                  <c:pt idx="21">
                    <c:v>Oct</c:v>
                  </c:pt>
                  <c:pt idx="22">
                    <c:v>Nov</c:v>
                  </c:pt>
                  <c:pt idx="23">
                    <c:v>Dec</c:v>
                  </c:pt>
                  <c:pt idx="24">
                    <c:v>Jan</c:v>
                  </c:pt>
                  <c:pt idx="25">
                    <c:v>Feb</c:v>
                  </c:pt>
                  <c:pt idx="26">
                    <c:v>Mar</c:v>
                  </c:pt>
                  <c:pt idx="27">
                    <c:v>Apr</c:v>
                  </c:pt>
                  <c:pt idx="28">
                    <c:v>May</c:v>
                  </c:pt>
                  <c:pt idx="29">
                    <c:v>Jun</c:v>
                  </c:pt>
                  <c:pt idx="30">
                    <c:v>Jul</c:v>
                  </c:pt>
                  <c:pt idx="31">
                    <c:v>Aug</c:v>
                  </c:pt>
                  <c:pt idx="32">
                    <c:v>Sep</c:v>
                  </c:pt>
                  <c:pt idx="33">
                    <c:v>Oct</c:v>
                  </c:pt>
                  <c:pt idx="34">
                    <c:v>Nov</c:v>
                  </c:pt>
                  <c:pt idx="35">
                    <c:v>Dec</c:v>
                  </c:pt>
                  <c:pt idx="36">
                    <c:v>Jan</c:v>
                  </c:pt>
                  <c:pt idx="37">
                    <c:v>Feb</c:v>
                  </c:pt>
                  <c:pt idx="38">
                    <c:v>Mar</c:v>
                  </c:pt>
                  <c:pt idx="39">
                    <c:v>Apr</c:v>
                  </c:pt>
                  <c:pt idx="40">
                    <c:v>May</c:v>
                  </c:pt>
                  <c:pt idx="41">
                    <c:v>Jun</c:v>
                  </c:pt>
                  <c:pt idx="42">
                    <c:v>Jul</c:v>
                  </c:pt>
                  <c:pt idx="43">
                    <c:v>Aug</c:v>
                  </c:pt>
                  <c:pt idx="44">
                    <c:v>Sep</c:v>
                  </c:pt>
                  <c:pt idx="45">
                    <c:v>Oct</c:v>
                  </c:pt>
                  <c:pt idx="46">
                    <c:v>Nov</c:v>
                  </c:pt>
                  <c:pt idx="47">
                    <c:v>Dec</c:v>
                  </c:pt>
                  <c:pt idx="48">
                    <c:v>Jan</c:v>
                  </c:pt>
                  <c:pt idx="49">
                    <c:v>Feb</c:v>
                  </c:pt>
                  <c:pt idx="50">
                    <c:v>Mar</c:v>
                  </c:pt>
                  <c:pt idx="51">
                    <c:v>Apr</c:v>
                  </c:pt>
                  <c:pt idx="52">
                    <c:v>May</c:v>
                  </c:pt>
                  <c:pt idx="53">
                    <c:v>Jun</c:v>
                  </c:pt>
                  <c:pt idx="54">
                    <c:v>Jul</c:v>
                  </c:pt>
                  <c:pt idx="55">
                    <c:v>Aug</c:v>
                  </c:pt>
                  <c:pt idx="56">
                    <c:v>Sep</c:v>
                  </c:pt>
                  <c:pt idx="57">
                    <c:v>Oct</c:v>
                  </c:pt>
                  <c:pt idx="58">
                    <c:v>Nov</c:v>
                  </c:pt>
                  <c:pt idx="59">
                    <c:v>Dec</c:v>
                  </c:pt>
                  <c:pt idx="60">
                    <c:v>Jan</c:v>
                  </c:pt>
                  <c:pt idx="61">
                    <c:v>Feb</c:v>
                  </c:pt>
                  <c:pt idx="62">
                    <c:v>Mar</c:v>
                  </c:pt>
                  <c:pt idx="63">
                    <c:v>Apr</c:v>
                  </c:pt>
                  <c:pt idx="64">
                    <c:v>May</c:v>
                  </c:pt>
                  <c:pt idx="65">
                    <c:v>Jun</c:v>
                  </c:pt>
                  <c:pt idx="66">
                    <c:v>Jul</c:v>
                  </c:pt>
                  <c:pt idx="67">
                    <c:v>Aug</c:v>
                  </c:pt>
                  <c:pt idx="68">
                    <c:v>Sep</c:v>
                  </c:pt>
                  <c:pt idx="69">
                    <c:v>Oct</c:v>
                  </c:pt>
                  <c:pt idx="70">
                    <c:v>Nov</c:v>
                  </c:pt>
                  <c:pt idx="71">
                    <c:v>Dec</c:v>
                  </c:pt>
                  <c:pt idx="72">
                    <c:v>Jan</c:v>
                  </c:pt>
                  <c:pt idx="73">
                    <c:v>Feb</c:v>
                  </c:pt>
                  <c:pt idx="74">
                    <c:v>Mar</c:v>
                  </c:pt>
                  <c:pt idx="75">
                    <c:v>Apr</c:v>
                  </c:pt>
                  <c:pt idx="76">
                    <c:v>May</c:v>
                  </c:pt>
                  <c:pt idx="77">
                    <c:v>Jun</c:v>
                  </c:pt>
                  <c:pt idx="78">
                    <c:v>Jul</c:v>
                  </c:pt>
                  <c:pt idx="79">
                    <c:v>Aug</c:v>
                  </c:pt>
                  <c:pt idx="80">
                    <c:v>Sep</c:v>
                  </c:pt>
                  <c:pt idx="81">
                    <c:v>Oct</c:v>
                  </c:pt>
                  <c:pt idx="82">
                    <c:v>Nov</c:v>
                  </c:pt>
                  <c:pt idx="83">
                    <c:v>Dec</c:v>
                  </c:pt>
                  <c:pt idx="84">
                    <c:v>Jan</c:v>
                  </c:pt>
                  <c:pt idx="85">
                    <c:v>Feb</c:v>
                  </c:pt>
                  <c:pt idx="86">
                    <c:v>Mar</c:v>
                  </c:pt>
                  <c:pt idx="87">
                    <c:v>Apr</c:v>
                  </c:pt>
                  <c:pt idx="88">
                    <c:v>May</c:v>
                  </c:pt>
                  <c:pt idx="89">
                    <c:v>Jun</c:v>
                  </c:pt>
                  <c:pt idx="90">
                    <c:v>Jul</c:v>
                  </c:pt>
                  <c:pt idx="91">
                    <c:v>Aug</c:v>
                  </c:pt>
                  <c:pt idx="92">
                    <c:v>Sep</c:v>
                  </c:pt>
                </c:lvl>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lvl>
              </c:multiLvlStrCache>
            </c:multiLvlStrRef>
          </c:cat>
          <c:val>
            <c:numRef>
              <c:f>Analysis!$L$73:$L$259</c:f>
              <c:numCache>
                <c:formatCode>General</c:formatCode>
                <c:ptCount val="93"/>
                <c:pt idx="0">
                  <c:v>29.434000000000001</c:v>
                </c:pt>
                <c:pt idx="1">
                  <c:v>16.1249</c:v>
                </c:pt>
                <c:pt idx="2">
                  <c:v>7.5</c:v>
                </c:pt>
                <c:pt idx="3">
                  <c:v>0</c:v>
                </c:pt>
                <c:pt idx="4">
                  <c:v>58.839999999999996</c:v>
                </c:pt>
                <c:pt idx="5">
                  <c:v>9.702</c:v>
                </c:pt>
                <c:pt idx="6">
                  <c:v>0</c:v>
                </c:pt>
                <c:pt idx="7">
                  <c:v>65.852100000000007</c:v>
                </c:pt>
                <c:pt idx="8">
                  <c:v>0</c:v>
                </c:pt>
                <c:pt idx="9">
                  <c:v>13.5</c:v>
                </c:pt>
                <c:pt idx="10">
                  <c:v>39.69</c:v>
                </c:pt>
                <c:pt idx="11">
                  <c:v>86</c:v>
                </c:pt>
              </c:numCache>
            </c:numRef>
          </c:val>
          <c:smooth val="0"/>
        </c:ser>
        <c:ser>
          <c:idx val="1"/>
          <c:order val="1"/>
          <c:tx>
            <c:strRef>
              <c:f>Analysis!$M$71:$M$72</c:f>
              <c:strCache>
                <c:ptCount val="1"/>
                <c:pt idx="0">
                  <c:v>2011</c:v>
                </c:pt>
              </c:strCache>
            </c:strRef>
          </c:tx>
          <c:spPr>
            <a:ln w="25400"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movingAvg"/>
            <c:period val="3"/>
            <c:dispRSqr val="0"/>
            <c:dispEq val="0"/>
          </c:trendline>
          <c:cat>
            <c:multiLvlStrRef>
              <c:f>Analysis!$K$73:$K$259</c:f>
              <c:multiLvlStrCache>
                <c:ptCount val="93"/>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pt idx="15">
                    <c:v>Apr</c:v>
                  </c:pt>
                  <c:pt idx="16">
                    <c:v>May</c:v>
                  </c:pt>
                  <c:pt idx="17">
                    <c:v>Jun</c:v>
                  </c:pt>
                  <c:pt idx="18">
                    <c:v>Jul</c:v>
                  </c:pt>
                  <c:pt idx="19">
                    <c:v>Aug</c:v>
                  </c:pt>
                  <c:pt idx="20">
                    <c:v>Sep</c:v>
                  </c:pt>
                  <c:pt idx="21">
                    <c:v>Oct</c:v>
                  </c:pt>
                  <c:pt idx="22">
                    <c:v>Nov</c:v>
                  </c:pt>
                  <c:pt idx="23">
                    <c:v>Dec</c:v>
                  </c:pt>
                  <c:pt idx="24">
                    <c:v>Jan</c:v>
                  </c:pt>
                  <c:pt idx="25">
                    <c:v>Feb</c:v>
                  </c:pt>
                  <c:pt idx="26">
                    <c:v>Mar</c:v>
                  </c:pt>
                  <c:pt idx="27">
                    <c:v>Apr</c:v>
                  </c:pt>
                  <c:pt idx="28">
                    <c:v>May</c:v>
                  </c:pt>
                  <c:pt idx="29">
                    <c:v>Jun</c:v>
                  </c:pt>
                  <c:pt idx="30">
                    <c:v>Jul</c:v>
                  </c:pt>
                  <c:pt idx="31">
                    <c:v>Aug</c:v>
                  </c:pt>
                  <c:pt idx="32">
                    <c:v>Sep</c:v>
                  </c:pt>
                  <c:pt idx="33">
                    <c:v>Oct</c:v>
                  </c:pt>
                  <c:pt idx="34">
                    <c:v>Nov</c:v>
                  </c:pt>
                  <c:pt idx="35">
                    <c:v>Dec</c:v>
                  </c:pt>
                  <c:pt idx="36">
                    <c:v>Jan</c:v>
                  </c:pt>
                  <c:pt idx="37">
                    <c:v>Feb</c:v>
                  </c:pt>
                  <c:pt idx="38">
                    <c:v>Mar</c:v>
                  </c:pt>
                  <c:pt idx="39">
                    <c:v>Apr</c:v>
                  </c:pt>
                  <c:pt idx="40">
                    <c:v>May</c:v>
                  </c:pt>
                  <c:pt idx="41">
                    <c:v>Jun</c:v>
                  </c:pt>
                  <c:pt idx="42">
                    <c:v>Jul</c:v>
                  </c:pt>
                  <c:pt idx="43">
                    <c:v>Aug</c:v>
                  </c:pt>
                  <c:pt idx="44">
                    <c:v>Sep</c:v>
                  </c:pt>
                  <c:pt idx="45">
                    <c:v>Oct</c:v>
                  </c:pt>
                  <c:pt idx="46">
                    <c:v>Nov</c:v>
                  </c:pt>
                  <c:pt idx="47">
                    <c:v>Dec</c:v>
                  </c:pt>
                  <c:pt idx="48">
                    <c:v>Jan</c:v>
                  </c:pt>
                  <c:pt idx="49">
                    <c:v>Feb</c:v>
                  </c:pt>
                  <c:pt idx="50">
                    <c:v>Mar</c:v>
                  </c:pt>
                  <c:pt idx="51">
                    <c:v>Apr</c:v>
                  </c:pt>
                  <c:pt idx="52">
                    <c:v>May</c:v>
                  </c:pt>
                  <c:pt idx="53">
                    <c:v>Jun</c:v>
                  </c:pt>
                  <c:pt idx="54">
                    <c:v>Jul</c:v>
                  </c:pt>
                  <c:pt idx="55">
                    <c:v>Aug</c:v>
                  </c:pt>
                  <c:pt idx="56">
                    <c:v>Sep</c:v>
                  </c:pt>
                  <c:pt idx="57">
                    <c:v>Oct</c:v>
                  </c:pt>
                  <c:pt idx="58">
                    <c:v>Nov</c:v>
                  </c:pt>
                  <c:pt idx="59">
                    <c:v>Dec</c:v>
                  </c:pt>
                  <c:pt idx="60">
                    <c:v>Jan</c:v>
                  </c:pt>
                  <c:pt idx="61">
                    <c:v>Feb</c:v>
                  </c:pt>
                  <c:pt idx="62">
                    <c:v>Mar</c:v>
                  </c:pt>
                  <c:pt idx="63">
                    <c:v>Apr</c:v>
                  </c:pt>
                  <c:pt idx="64">
                    <c:v>May</c:v>
                  </c:pt>
                  <c:pt idx="65">
                    <c:v>Jun</c:v>
                  </c:pt>
                  <c:pt idx="66">
                    <c:v>Jul</c:v>
                  </c:pt>
                  <c:pt idx="67">
                    <c:v>Aug</c:v>
                  </c:pt>
                  <c:pt idx="68">
                    <c:v>Sep</c:v>
                  </c:pt>
                  <c:pt idx="69">
                    <c:v>Oct</c:v>
                  </c:pt>
                  <c:pt idx="70">
                    <c:v>Nov</c:v>
                  </c:pt>
                  <c:pt idx="71">
                    <c:v>Dec</c:v>
                  </c:pt>
                  <c:pt idx="72">
                    <c:v>Jan</c:v>
                  </c:pt>
                  <c:pt idx="73">
                    <c:v>Feb</c:v>
                  </c:pt>
                  <c:pt idx="74">
                    <c:v>Mar</c:v>
                  </c:pt>
                  <c:pt idx="75">
                    <c:v>Apr</c:v>
                  </c:pt>
                  <c:pt idx="76">
                    <c:v>May</c:v>
                  </c:pt>
                  <c:pt idx="77">
                    <c:v>Jun</c:v>
                  </c:pt>
                  <c:pt idx="78">
                    <c:v>Jul</c:v>
                  </c:pt>
                  <c:pt idx="79">
                    <c:v>Aug</c:v>
                  </c:pt>
                  <c:pt idx="80">
                    <c:v>Sep</c:v>
                  </c:pt>
                  <c:pt idx="81">
                    <c:v>Oct</c:v>
                  </c:pt>
                  <c:pt idx="82">
                    <c:v>Nov</c:v>
                  </c:pt>
                  <c:pt idx="83">
                    <c:v>Dec</c:v>
                  </c:pt>
                  <c:pt idx="84">
                    <c:v>Jan</c:v>
                  </c:pt>
                  <c:pt idx="85">
                    <c:v>Feb</c:v>
                  </c:pt>
                  <c:pt idx="86">
                    <c:v>Mar</c:v>
                  </c:pt>
                  <c:pt idx="87">
                    <c:v>Apr</c:v>
                  </c:pt>
                  <c:pt idx="88">
                    <c:v>May</c:v>
                  </c:pt>
                  <c:pt idx="89">
                    <c:v>Jun</c:v>
                  </c:pt>
                  <c:pt idx="90">
                    <c:v>Jul</c:v>
                  </c:pt>
                  <c:pt idx="91">
                    <c:v>Aug</c:v>
                  </c:pt>
                  <c:pt idx="92">
                    <c:v>Sep</c:v>
                  </c:pt>
                </c:lvl>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lvl>
              </c:multiLvlStrCache>
            </c:multiLvlStrRef>
          </c:cat>
          <c:val>
            <c:numRef>
              <c:f>Analysis!$M$73:$M$259</c:f>
              <c:numCache>
                <c:formatCode>General</c:formatCode>
                <c:ptCount val="93"/>
                <c:pt idx="12">
                  <c:v>54.7</c:v>
                </c:pt>
                <c:pt idx="13">
                  <c:v>16.36</c:v>
                </c:pt>
                <c:pt idx="14">
                  <c:v>1.75</c:v>
                </c:pt>
                <c:pt idx="15">
                  <c:v>0</c:v>
                </c:pt>
                <c:pt idx="16">
                  <c:v>74.2</c:v>
                </c:pt>
                <c:pt idx="17">
                  <c:v>30.224</c:v>
                </c:pt>
                <c:pt idx="18">
                  <c:v>14.98</c:v>
                </c:pt>
                <c:pt idx="19">
                  <c:v>30.426000000000002</c:v>
                </c:pt>
                <c:pt idx="20">
                  <c:v>0</c:v>
                </c:pt>
                <c:pt idx="21">
                  <c:v>32</c:v>
                </c:pt>
                <c:pt idx="22">
                  <c:v>13.6</c:v>
                </c:pt>
                <c:pt idx="23">
                  <c:v>12.69</c:v>
                </c:pt>
              </c:numCache>
            </c:numRef>
          </c:val>
          <c:smooth val="0"/>
        </c:ser>
        <c:ser>
          <c:idx val="2"/>
          <c:order val="2"/>
          <c:tx>
            <c:strRef>
              <c:f>Analysis!$N$71:$N$72</c:f>
              <c:strCache>
                <c:ptCount val="1"/>
                <c:pt idx="0">
                  <c:v>2012</c:v>
                </c:pt>
              </c:strCache>
            </c:strRef>
          </c:tx>
          <c:spPr>
            <a:ln w="25400" cap="rnd">
              <a:noFill/>
              <a:round/>
            </a:ln>
            <a:effectLst/>
          </c:spPr>
          <c:marker>
            <c:symbol val="circle"/>
            <c:size val="5"/>
            <c:spPr>
              <a:solidFill>
                <a:schemeClr val="accent3"/>
              </a:solidFill>
              <a:ln w="9525">
                <a:solidFill>
                  <a:schemeClr val="accent3"/>
                </a:solidFill>
              </a:ln>
              <a:effectLst/>
            </c:spPr>
          </c:marker>
          <c:trendline>
            <c:spPr>
              <a:ln w="19050" cap="rnd">
                <a:solidFill>
                  <a:schemeClr val="accent3"/>
                </a:solidFill>
                <a:prstDash val="sysDot"/>
              </a:ln>
              <a:effectLst/>
            </c:spPr>
            <c:trendlineType val="movingAvg"/>
            <c:period val="3"/>
            <c:dispRSqr val="0"/>
            <c:dispEq val="0"/>
          </c:trendline>
          <c:cat>
            <c:multiLvlStrRef>
              <c:f>Analysis!$K$73:$K$259</c:f>
              <c:multiLvlStrCache>
                <c:ptCount val="93"/>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pt idx="15">
                    <c:v>Apr</c:v>
                  </c:pt>
                  <c:pt idx="16">
                    <c:v>May</c:v>
                  </c:pt>
                  <c:pt idx="17">
                    <c:v>Jun</c:v>
                  </c:pt>
                  <c:pt idx="18">
                    <c:v>Jul</c:v>
                  </c:pt>
                  <c:pt idx="19">
                    <c:v>Aug</c:v>
                  </c:pt>
                  <c:pt idx="20">
                    <c:v>Sep</c:v>
                  </c:pt>
                  <c:pt idx="21">
                    <c:v>Oct</c:v>
                  </c:pt>
                  <c:pt idx="22">
                    <c:v>Nov</c:v>
                  </c:pt>
                  <c:pt idx="23">
                    <c:v>Dec</c:v>
                  </c:pt>
                  <c:pt idx="24">
                    <c:v>Jan</c:v>
                  </c:pt>
                  <c:pt idx="25">
                    <c:v>Feb</c:v>
                  </c:pt>
                  <c:pt idx="26">
                    <c:v>Mar</c:v>
                  </c:pt>
                  <c:pt idx="27">
                    <c:v>Apr</c:v>
                  </c:pt>
                  <c:pt idx="28">
                    <c:v>May</c:v>
                  </c:pt>
                  <c:pt idx="29">
                    <c:v>Jun</c:v>
                  </c:pt>
                  <c:pt idx="30">
                    <c:v>Jul</c:v>
                  </c:pt>
                  <c:pt idx="31">
                    <c:v>Aug</c:v>
                  </c:pt>
                  <c:pt idx="32">
                    <c:v>Sep</c:v>
                  </c:pt>
                  <c:pt idx="33">
                    <c:v>Oct</c:v>
                  </c:pt>
                  <c:pt idx="34">
                    <c:v>Nov</c:v>
                  </c:pt>
                  <c:pt idx="35">
                    <c:v>Dec</c:v>
                  </c:pt>
                  <c:pt idx="36">
                    <c:v>Jan</c:v>
                  </c:pt>
                  <c:pt idx="37">
                    <c:v>Feb</c:v>
                  </c:pt>
                  <c:pt idx="38">
                    <c:v>Mar</c:v>
                  </c:pt>
                  <c:pt idx="39">
                    <c:v>Apr</c:v>
                  </c:pt>
                  <c:pt idx="40">
                    <c:v>May</c:v>
                  </c:pt>
                  <c:pt idx="41">
                    <c:v>Jun</c:v>
                  </c:pt>
                  <c:pt idx="42">
                    <c:v>Jul</c:v>
                  </c:pt>
                  <c:pt idx="43">
                    <c:v>Aug</c:v>
                  </c:pt>
                  <c:pt idx="44">
                    <c:v>Sep</c:v>
                  </c:pt>
                  <c:pt idx="45">
                    <c:v>Oct</c:v>
                  </c:pt>
                  <c:pt idx="46">
                    <c:v>Nov</c:v>
                  </c:pt>
                  <c:pt idx="47">
                    <c:v>Dec</c:v>
                  </c:pt>
                  <c:pt idx="48">
                    <c:v>Jan</c:v>
                  </c:pt>
                  <c:pt idx="49">
                    <c:v>Feb</c:v>
                  </c:pt>
                  <c:pt idx="50">
                    <c:v>Mar</c:v>
                  </c:pt>
                  <c:pt idx="51">
                    <c:v>Apr</c:v>
                  </c:pt>
                  <c:pt idx="52">
                    <c:v>May</c:v>
                  </c:pt>
                  <c:pt idx="53">
                    <c:v>Jun</c:v>
                  </c:pt>
                  <c:pt idx="54">
                    <c:v>Jul</c:v>
                  </c:pt>
                  <c:pt idx="55">
                    <c:v>Aug</c:v>
                  </c:pt>
                  <c:pt idx="56">
                    <c:v>Sep</c:v>
                  </c:pt>
                  <c:pt idx="57">
                    <c:v>Oct</c:v>
                  </c:pt>
                  <c:pt idx="58">
                    <c:v>Nov</c:v>
                  </c:pt>
                  <c:pt idx="59">
                    <c:v>Dec</c:v>
                  </c:pt>
                  <c:pt idx="60">
                    <c:v>Jan</c:v>
                  </c:pt>
                  <c:pt idx="61">
                    <c:v>Feb</c:v>
                  </c:pt>
                  <c:pt idx="62">
                    <c:v>Mar</c:v>
                  </c:pt>
                  <c:pt idx="63">
                    <c:v>Apr</c:v>
                  </c:pt>
                  <c:pt idx="64">
                    <c:v>May</c:v>
                  </c:pt>
                  <c:pt idx="65">
                    <c:v>Jun</c:v>
                  </c:pt>
                  <c:pt idx="66">
                    <c:v>Jul</c:v>
                  </c:pt>
                  <c:pt idx="67">
                    <c:v>Aug</c:v>
                  </c:pt>
                  <c:pt idx="68">
                    <c:v>Sep</c:v>
                  </c:pt>
                  <c:pt idx="69">
                    <c:v>Oct</c:v>
                  </c:pt>
                  <c:pt idx="70">
                    <c:v>Nov</c:v>
                  </c:pt>
                  <c:pt idx="71">
                    <c:v>Dec</c:v>
                  </c:pt>
                  <c:pt idx="72">
                    <c:v>Jan</c:v>
                  </c:pt>
                  <c:pt idx="73">
                    <c:v>Feb</c:v>
                  </c:pt>
                  <c:pt idx="74">
                    <c:v>Mar</c:v>
                  </c:pt>
                  <c:pt idx="75">
                    <c:v>Apr</c:v>
                  </c:pt>
                  <c:pt idx="76">
                    <c:v>May</c:v>
                  </c:pt>
                  <c:pt idx="77">
                    <c:v>Jun</c:v>
                  </c:pt>
                  <c:pt idx="78">
                    <c:v>Jul</c:v>
                  </c:pt>
                  <c:pt idx="79">
                    <c:v>Aug</c:v>
                  </c:pt>
                  <c:pt idx="80">
                    <c:v>Sep</c:v>
                  </c:pt>
                  <c:pt idx="81">
                    <c:v>Oct</c:v>
                  </c:pt>
                  <c:pt idx="82">
                    <c:v>Nov</c:v>
                  </c:pt>
                  <c:pt idx="83">
                    <c:v>Dec</c:v>
                  </c:pt>
                  <c:pt idx="84">
                    <c:v>Jan</c:v>
                  </c:pt>
                  <c:pt idx="85">
                    <c:v>Feb</c:v>
                  </c:pt>
                  <c:pt idx="86">
                    <c:v>Mar</c:v>
                  </c:pt>
                  <c:pt idx="87">
                    <c:v>Apr</c:v>
                  </c:pt>
                  <c:pt idx="88">
                    <c:v>May</c:v>
                  </c:pt>
                  <c:pt idx="89">
                    <c:v>Jun</c:v>
                  </c:pt>
                  <c:pt idx="90">
                    <c:v>Jul</c:v>
                  </c:pt>
                  <c:pt idx="91">
                    <c:v>Aug</c:v>
                  </c:pt>
                  <c:pt idx="92">
                    <c:v>Sep</c:v>
                  </c:pt>
                </c:lvl>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lvl>
              </c:multiLvlStrCache>
            </c:multiLvlStrRef>
          </c:cat>
          <c:val>
            <c:numRef>
              <c:f>Analysis!$N$73:$N$259</c:f>
              <c:numCache>
                <c:formatCode>General</c:formatCode>
                <c:ptCount val="93"/>
                <c:pt idx="24">
                  <c:v>26.207000000000001</c:v>
                </c:pt>
                <c:pt idx="25">
                  <c:v>18.234999999999999</c:v>
                </c:pt>
                <c:pt idx="26">
                  <c:v>18.600000000000001</c:v>
                </c:pt>
                <c:pt idx="27">
                  <c:v>0</c:v>
                </c:pt>
                <c:pt idx="28">
                  <c:v>33.96</c:v>
                </c:pt>
                <c:pt idx="29">
                  <c:v>33.101000000000006</c:v>
                </c:pt>
                <c:pt idx="30">
                  <c:v>88.847000000000008</c:v>
                </c:pt>
                <c:pt idx="31">
                  <c:v>0</c:v>
                </c:pt>
                <c:pt idx="32">
                  <c:v>39.030999999999999</c:v>
                </c:pt>
                <c:pt idx="33">
                  <c:v>87.277900000000002</c:v>
                </c:pt>
                <c:pt idx="34">
                  <c:v>55.22</c:v>
                </c:pt>
                <c:pt idx="35">
                  <c:v>80.412000000000006</c:v>
                </c:pt>
              </c:numCache>
            </c:numRef>
          </c:val>
          <c:smooth val="0"/>
        </c:ser>
        <c:ser>
          <c:idx val="3"/>
          <c:order val="3"/>
          <c:tx>
            <c:strRef>
              <c:f>Analysis!$O$71:$O$72</c:f>
              <c:strCache>
                <c:ptCount val="1"/>
                <c:pt idx="0">
                  <c:v>2013</c:v>
                </c:pt>
              </c:strCache>
            </c:strRef>
          </c:tx>
          <c:spPr>
            <a:ln w="25400" cap="rnd">
              <a:noFill/>
              <a:round/>
            </a:ln>
            <a:effectLst/>
          </c:spPr>
          <c:marker>
            <c:symbol val="circle"/>
            <c:size val="5"/>
            <c:spPr>
              <a:solidFill>
                <a:schemeClr val="accent4"/>
              </a:solidFill>
              <a:ln w="9525">
                <a:solidFill>
                  <a:schemeClr val="accent4"/>
                </a:solidFill>
              </a:ln>
              <a:effectLst/>
            </c:spPr>
          </c:marker>
          <c:trendline>
            <c:spPr>
              <a:ln w="19050" cap="rnd">
                <a:solidFill>
                  <a:schemeClr val="accent4"/>
                </a:solidFill>
                <a:prstDash val="sysDot"/>
              </a:ln>
              <a:effectLst/>
            </c:spPr>
            <c:trendlineType val="movingAvg"/>
            <c:period val="3"/>
            <c:dispRSqr val="0"/>
            <c:dispEq val="0"/>
          </c:trendline>
          <c:cat>
            <c:multiLvlStrRef>
              <c:f>Analysis!$K$73:$K$259</c:f>
              <c:multiLvlStrCache>
                <c:ptCount val="93"/>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pt idx="15">
                    <c:v>Apr</c:v>
                  </c:pt>
                  <c:pt idx="16">
                    <c:v>May</c:v>
                  </c:pt>
                  <c:pt idx="17">
                    <c:v>Jun</c:v>
                  </c:pt>
                  <c:pt idx="18">
                    <c:v>Jul</c:v>
                  </c:pt>
                  <c:pt idx="19">
                    <c:v>Aug</c:v>
                  </c:pt>
                  <c:pt idx="20">
                    <c:v>Sep</c:v>
                  </c:pt>
                  <c:pt idx="21">
                    <c:v>Oct</c:v>
                  </c:pt>
                  <c:pt idx="22">
                    <c:v>Nov</c:v>
                  </c:pt>
                  <c:pt idx="23">
                    <c:v>Dec</c:v>
                  </c:pt>
                  <c:pt idx="24">
                    <c:v>Jan</c:v>
                  </c:pt>
                  <c:pt idx="25">
                    <c:v>Feb</c:v>
                  </c:pt>
                  <c:pt idx="26">
                    <c:v>Mar</c:v>
                  </c:pt>
                  <c:pt idx="27">
                    <c:v>Apr</c:v>
                  </c:pt>
                  <c:pt idx="28">
                    <c:v>May</c:v>
                  </c:pt>
                  <c:pt idx="29">
                    <c:v>Jun</c:v>
                  </c:pt>
                  <c:pt idx="30">
                    <c:v>Jul</c:v>
                  </c:pt>
                  <c:pt idx="31">
                    <c:v>Aug</c:v>
                  </c:pt>
                  <c:pt idx="32">
                    <c:v>Sep</c:v>
                  </c:pt>
                  <c:pt idx="33">
                    <c:v>Oct</c:v>
                  </c:pt>
                  <c:pt idx="34">
                    <c:v>Nov</c:v>
                  </c:pt>
                  <c:pt idx="35">
                    <c:v>Dec</c:v>
                  </c:pt>
                  <c:pt idx="36">
                    <c:v>Jan</c:v>
                  </c:pt>
                  <c:pt idx="37">
                    <c:v>Feb</c:v>
                  </c:pt>
                  <c:pt idx="38">
                    <c:v>Mar</c:v>
                  </c:pt>
                  <c:pt idx="39">
                    <c:v>Apr</c:v>
                  </c:pt>
                  <c:pt idx="40">
                    <c:v>May</c:v>
                  </c:pt>
                  <c:pt idx="41">
                    <c:v>Jun</c:v>
                  </c:pt>
                  <c:pt idx="42">
                    <c:v>Jul</c:v>
                  </c:pt>
                  <c:pt idx="43">
                    <c:v>Aug</c:v>
                  </c:pt>
                  <c:pt idx="44">
                    <c:v>Sep</c:v>
                  </c:pt>
                  <c:pt idx="45">
                    <c:v>Oct</c:v>
                  </c:pt>
                  <c:pt idx="46">
                    <c:v>Nov</c:v>
                  </c:pt>
                  <c:pt idx="47">
                    <c:v>Dec</c:v>
                  </c:pt>
                  <c:pt idx="48">
                    <c:v>Jan</c:v>
                  </c:pt>
                  <c:pt idx="49">
                    <c:v>Feb</c:v>
                  </c:pt>
                  <c:pt idx="50">
                    <c:v>Mar</c:v>
                  </c:pt>
                  <c:pt idx="51">
                    <c:v>Apr</c:v>
                  </c:pt>
                  <c:pt idx="52">
                    <c:v>May</c:v>
                  </c:pt>
                  <c:pt idx="53">
                    <c:v>Jun</c:v>
                  </c:pt>
                  <c:pt idx="54">
                    <c:v>Jul</c:v>
                  </c:pt>
                  <c:pt idx="55">
                    <c:v>Aug</c:v>
                  </c:pt>
                  <c:pt idx="56">
                    <c:v>Sep</c:v>
                  </c:pt>
                  <c:pt idx="57">
                    <c:v>Oct</c:v>
                  </c:pt>
                  <c:pt idx="58">
                    <c:v>Nov</c:v>
                  </c:pt>
                  <c:pt idx="59">
                    <c:v>Dec</c:v>
                  </c:pt>
                  <c:pt idx="60">
                    <c:v>Jan</c:v>
                  </c:pt>
                  <c:pt idx="61">
                    <c:v>Feb</c:v>
                  </c:pt>
                  <c:pt idx="62">
                    <c:v>Mar</c:v>
                  </c:pt>
                  <c:pt idx="63">
                    <c:v>Apr</c:v>
                  </c:pt>
                  <c:pt idx="64">
                    <c:v>May</c:v>
                  </c:pt>
                  <c:pt idx="65">
                    <c:v>Jun</c:v>
                  </c:pt>
                  <c:pt idx="66">
                    <c:v>Jul</c:v>
                  </c:pt>
                  <c:pt idx="67">
                    <c:v>Aug</c:v>
                  </c:pt>
                  <c:pt idx="68">
                    <c:v>Sep</c:v>
                  </c:pt>
                  <c:pt idx="69">
                    <c:v>Oct</c:v>
                  </c:pt>
                  <c:pt idx="70">
                    <c:v>Nov</c:v>
                  </c:pt>
                  <c:pt idx="71">
                    <c:v>Dec</c:v>
                  </c:pt>
                  <c:pt idx="72">
                    <c:v>Jan</c:v>
                  </c:pt>
                  <c:pt idx="73">
                    <c:v>Feb</c:v>
                  </c:pt>
                  <c:pt idx="74">
                    <c:v>Mar</c:v>
                  </c:pt>
                  <c:pt idx="75">
                    <c:v>Apr</c:v>
                  </c:pt>
                  <c:pt idx="76">
                    <c:v>May</c:v>
                  </c:pt>
                  <c:pt idx="77">
                    <c:v>Jun</c:v>
                  </c:pt>
                  <c:pt idx="78">
                    <c:v>Jul</c:v>
                  </c:pt>
                  <c:pt idx="79">
                    <c:v>Aug</c:v>
                  </c:pt>
                  <c:pt idx="80">
                    <c:v>Sep</c:v>
                  </c:pt>
                  <c:pt idx="81">
                    <c:v>Oct</c:v>
                  </c:pt>
                  <c:pt idx="82">
                    <c:v>Nov</c:v>
                  </c:pt>
                  <c:pt idx="83">
                    <c:v>Dec</c:v>
                  </c:pt>
                  <c:pt idx="84">
                    <c:v>Jan</c:v>
                  </c:pt>
                  <c:pt idx="85">
                    <c:v>Feb</c:v>
                  </c:pt>
                  <c:pt idx="86">
                    <c:v>Mar</c:v>
                  </c:pt>
                  <c:pt idx="87">
                    <c:v>Apr</c:v>
                  </c:pt>
                  <c:pt idx="88">
                    <c:v>May</c:v>
                  </c:pt>
                  <c:pt idx="89">
                    <c:v>Jun</c:v>
                  </c:pt>
                  <c:pt idx="90">
                    <c:v>Jul</c:v>
                  </c:pt>
                  <c:pt idx="91">
                    <c:v>Aug</c:v>
                  </c:pt>
                  <c:pt idx="92">
                    <c:v>Sep</c:v>
                  </c:pt>
                </c:lvl>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lvl>
              </c:multiLvlStrCache>
            </c:multiLvlStrRef>
          </c:cat>
          <c:val>
            <c:numRef>
              <c:f>Analysis!$O$73:$O$259</c:f>
              <c:numCache>
                <c:formatCode>General</c:formatCode>
                <c:ptCount val="93"/>
                <c:pt idx="36">
                  <c:v>128.66800000000001</c:v>
                </c:pt>
                <c:pt idx="37">
                  <c:v>336.65999999999997</c:v>
                </c:pt>
                <c:pt idx="38">
                  <c:v>256.04700000000003</c:v>
                </c:pt>
                <c:pt idx="39">
                  <c:v>274.77</c:v>
                </c:pt>
                <c:pt idx="40">
                  <c:v>153.47</c:v>
                </c:pt>
                <c:pt idx="41">
                  <c:v>175.36</c:v>
                </c:pt>
                <c:pt idx="42">
                  <c:v>146.67699999999999</c:v>
                </c:pt>
                <c:pt idx="43">
                  <c:v>100.521</c:v>
                </c:pt>
                <c:pt idx="44">
                  <c:v>32.026000000000003</c:v>
                </c:pt>
                <c:pt idx="45">
                  <c:v>222.23599999999999</c:v>
                </c:pt>
                <c:pt idx="46">
                  <c:v>427.81</c:v>
                </c:pt>
                <c:pt idx="47">
                  <c:v>202.88000000000002</c:v>
                </c:pt>
              </c:numCache>
            </c:numRef>
          </c:val>
          <c:smooth val="0"/>
        </c:ser>
        <c:ser>
          <c:idx val="4"/>
          <c:order val="4"/>
          <c:tx>
            <c:strRef>
              <c:f>Analysis!$P$71:$P$72</c:f>
              <c:strCache>
                <c:ptCount val="1"/>
                <c:pt idx="0">
                  <c:v>2014</c:v>
                </c:pt>
              </c:strCache>
            </c:strRef>
          </c:tx>
          <c:spPr>
            <a:ln w="25400" cap="rnd">
              <a:noFill/>
              <a:round/>
            </a:ln>
            <a:effectLst/>
          </c:spPr>
          <c:marker>
            <c:symbol val="circle"/>
            <c:size val="5"/>
            <c:spPr>
              <a:solidFill>
                <a:schemeClr val="accent5"/>
              </a:solidFill>
              <a:ln w="9525">
                <a:solidFill>
                  <a:schemeClr val="accent5"/>
                </a:solidFill>
              </a:ln>
              <a:effectLst/>
            </c:spPr>
          </c:marker>
          <c:trendline>
            <c:spPr>
              <a:ln w="19050" cap="rnd">
                <a:solidFill>
                  <a:schemeClr val="accent5"/>
                </a:solidFill>
                <a:prstDash val="sysDot"/>
              </a:ln>
              <a:effectLst/>
            </c:spPr>
            <c:trendlineType val="movingAvg"/>
            <c:period val="3"/>
            <c:dispRSqr val="0"/>
            <c:dispEq val="0"/>
          </c:trendline>
          <c:cat>
            <c:multiLvlStrRef>
              <c:f>Analysis!$K$73:$K$259</c:f>
              <c:multiLvlStrCache>
                <c:ptCount val="93"/>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pt idx="15">
                    <c:v>Apr</c:v>
                  </c:pt>
                  <c:pt idx="16">
                    <c:v>May</c:v>
                  </c:pt>
                  <c:pt idx="17">
                    <c:v>Jun</c:v>
                  </c:pt>
                  <c:pt idx="18">
                    <c:v>Jul</c:v>
                  </c:pt>
                  <c:pt idx="19">
                    <c:v>Aug</c:v>
                  </c:pt>
                  <c:pt idx="20">
                    <c:v>Sep</c:v>
                  </c:pt>
                  <c:pt idx="21">
                    <c:v>Oct</c:v>
                  </c:pt>
                  <c:pt idx="22">
                    <c:v>Nov</c:v>
                  </c:pt>
                  <c:pt idx="23">
                    <c:v>Dec</c:v>
                  </c:pt>
                  <c:pt idx="24">
                    <c:v>Jan</c:v>
                  </c:pt>
                  <c:pt idx="25">
                    <c:v>Feb</c:v>
                  </c:pt>
                  <c:pt idx="26">
                    <c:v>Mar</c:v>
                  </c:pt>
                  <c:pt idx="27">
                    <c:v>Apr</c:v>
                  </c:pt>
                  <c:pt idx="28">
                    <c:v>May</c:v>
                  </c:pt>
                  <c:pt idx="29">
                    <c:v>Jun</c:v>
                  </c:pt>
                  <c:pt idx="30">
                    <c:v>Jul</c:v>
                  </c:pt>
                  <c:pt idx="31">
                    <c:v>Aug</c:v>
                  </c:pt>
                  <c:pt idx="32">
                    <c:v>Sep</c:v>
                  </c:pt>
                  <c:pt idx="33">
                    <c:v>Oct</c:v>
                  </c:pt>
                  <c:pt idx="34">
                    <c:v>Nov</c:v>
                  </c:pt>
                  <c:pt idx="35">
                    <c:v>Dec</c:v>
                  </c:pt>
                  <c:pt idx="36">
                    <c:v>Jan</c:v>
                  </c:pt>
                  <c:pt idx="37">
                    <c:v>Feb</c:v>
                  </c:pt>
                  <c:pt idx="38">
                    <c:v>Mar</c:v>
                  </c:pt>
                  <c:pt idx="39">
                    <c:v>Apr</c:v>
                  </c:pt>
                  <c:pt idx="40">
                    <c:v>May</c:v>
                  </c:pt>
                  <c:pt idx="41">
                    <c:v>Jun</c:v>
                  </c:pt>
                  <c:pt idx="42">
                    <c:v>Jul</c:v>
                  </c:pt>
                  <c:pt idx="43">
                    <c:v>Aug</c:v>
                  </c:pt>
                  <c:pt idx="44">
                    <c:v>Sep</c:v>
                  </c:pt>
                  <c:pt idx="45">
                    <c:v>Oct</c:v>
                  </c:pt>
                  <c:pt idx="46">
                    <c:v>Nov</c:v>
                  </c:pt>
                  <c:pt idx="47">
                    <c:v>Dec</c:v>
                  </c:pt>
                  <c:pt idx="48">
                    <c:v>Jan</c:v>
                  </c:pt>
                  <c:pt idx="49">
                    <c:v>Feb</c:v>
                  </c:pt>
                  <c:pt idx="50">
                    <c:v>Mar</c:v>
                  </c:pt>
                  <c:pt idx="51">
                    <c:v>Apr</c:v>
                  </c:pt>
                  <c:pt idx="52">
                    <c:v>May</c:v>
                  </c:pt>
                  <c:pt idx="53">
                    <c:v>Jun</c:v>
                  </c:pt>
                  <c:pt idx="54">
                    <c:v>Jul</c:v>
                  </c:pt>
                  <c:pt idx="55">
                    <c:v>Aug</c:v>
                  </c:pt>
                  <c:pt idx="56">
                    <c:v>Sep</c:v>
                  </c:pt>
                  <c:pt idx="57">
                    <c:v>Oct</c:v>
                  </c:pt>
                  <c:pt idx="58">
                    <c:v>Nov</c:v>
                  </c:pt>
                  <c:pt idx="59">
                    <c:v>Dec</c:v>
                  </c:pt>
                  <c:pt idx="60">
                    <c:v>Jan</c:v>
                  </c:pt>
                  <c:pt idx="61">
                    <c:v>Feb</c:v>
                  </c:pt>
                  <c:pt idx="62">
                    <c:v>Mar</c:v>
                  </c:pt>
                  <c:pt idx="63">
                    <c:v>Apr</c:v>
                  </c:pt>
                  <c:pt idx="64">
                    <c:v>May</c:v>
                  </c:pt>
                  <c:pt idx="65">
                    <c:v>Jun</c:v>
                  </c:pt>
                  <c:pt idx="66">
                    <c:v>Jul</c:v>
                  </c:pt>
                  <c:pt idx="67">
                    <c:v>Aug</c:v>
                  </c:pt>
                  <c:pt idx="68">
                    <c:v>Sep</c:v>
                  </c:pt>
                  <c:pt idx="69">
                    <c:v>Oct</c:v>
                  </c:pt>
                  <c:pt idx="70">
                    <c:v>Nov</c:v>
                  </c:pt>
                  <c:pt idx="71">
                    <c:v>Dec</c:v>
                  </c:pt>
                  <c:pt idx="72">
                    <c:v>Jan</c:v>
                  </c:pt>
                  <c:pt idx="73">
                    <c:v>Feb</c:v>
                  </c:pt>
                  <c:pt idx="74">
                    <c:v>Mar</c:v>
                  </c:pt>
                  <c:pt idx="75">
                    <c:v>Apr</c:v>
                  </c:pt>
                  <c:pt idx="76">
                    <c:v>May</c:v>
                  </c:pt>
                  <c:pt idx="77">
                    <c:v>Jun</c:v>
                  </c:pt>
                  <c:pt idx="78">
                    <c:v>Jul</c:v>
                  </c:pt>
                  <c:pt idx="79">
                    <c:v>Aug</c:v>
                  </c:pt>
                  <c:pt idx="80">
                    <c:v>Sep</c:v>
                  </c:pt>
                  <c:pt idx="81">
                    <c:v>Oct</c:v>
                  </c:pt>
                  <c:pt idx="82">
                    <c:v>Nov</c:v>
                  </c:pt>
                  <c:pt idx="83">
                    <c:v>Dec</c:v>
                  </c:pt>
                  <c:pt idx="84">
                    <c:v>Jan</c:v>
                  </c:pt>
                  <c:pt idx="85">
                    <c:v>Feb</c:v>
                  </c:pt>
                  <c:pt idx="86">
                    <c:v>Mar</c:v>
                  </c:pt>
                  <c:pt idx="87">
                    <c:v>Apr</c:v>
                  </c:pt>
                  <c:pt idx="88">
                    <c:v>May</c:v>
                  </c:pt>
                  <c:pt idx="89">
                    <c:v>Jun</c:v>
                  </c:pt>
                  <c:pt idx="90">
                    <c:v>Jul</c:v>
                  </c:pt>
                  <c:pt idx="91">
                    <c:v>Aug</c:v>
                  </c:pt>
                  <c:pt idx="92">
                    <c:v>Sep</c:v>
                  </c:pt>
                </c:lvl>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lvl>
              </c:multiLvlStrCache>
            </c:multiLvlStrRef>
          </c:cat>
          <c:val>
            <c:numRef>
              <c:f>Analysis!$P$73:$P$259</c:f>
              <c:numCache>
                <c:formatCode>General</c:formatCode>
                <c:ptCount val="93"/>
                <c:pt idx="48">
                  <c:v>88.603999999999999</c:v>
                </c:pt>
                <c:pt idx="49">
                  <c:v>215.024</c:v>
                </c:pt>
                <c:pt idx="50">
                  <c:v>346.18499999999995</c:v>
                </c:pt>
                <c:pt idx="51">
                  <c:v>154.09</c:v>
                </c:pt>
                <c:pt idx="52">
                  <c:v>469.99629999999996</c:v>
                </c:pt>
                <c:pt idx="53">
                  <c:v>757.43000000000006</c:v>
                </c:pt>
                <c:pt idx="54">
                  <c:v>120.28099999999999</c:v>
                </c:pt>
                <c:pt idx="55">
                  <c:v>487.59999999999997</c:v>
                </c:pt>
                <c:pt idx="56">
                  <c:v>286.64699999999999</c:v>
                </c:pt>
                <c:pt idx="57">
                  <c:v>274.49900000000002</c:v>
                </c:pt>
                <c:pt idx="58">
                  <c:v>178.35</c:v>
                </c:pt>
                <c:pt idx="59">
                  <c:v>256.8</c:v>
                </c:pt>
              </c:numCache>
            </c:numRef>
          </c:val>
          <c:smooth val="0"/>
        </c:ser>
        <c:ser>
          <c:idx val="5"/>
          <c:order val="5"/>
          <c:tx>
            <c:strRef>
              <c:f>Analysis!$Q$71:$Q$72</c:f>
              <c:strCache>
                <c:ptCount val="1"/>
                <c:pt idx="0">
                  <c:v>2015</c:v>
                </c:pt>
              </c:strCache>
            </c:strRef>
          </c:tx>
          <c:spPr>
            <a:ln w="25400" cap="rnd">
              <a:noFill/>
              <a:round/>
            </a:ln>
            <a:effectLst/>
          </c:spPr>
          <c:marker>
            <c:symbol val="circle"/>
            <c:size val="5"/>
            <c:spPr>
              <a:solidFill>
                <a:schemeClr val="accent6"/>
              </a:solidFill>
              <a:ln w="9525">
                <a:solidFill>
                  <a:schemeClr val="accent6"/>
                </a:solidFill>
              </a:ln>
              <a:effectLst/>
            </c:spPr>
          </c:marker>
          <c:trendline>
            <c:spPr>
              <a:ln w="19050" cap="rnd">
                <a:solidFill>
                  <a:schemeClr val="accent6"/>
                </a:solidFill>
                <a:prstDash val="sysDot"/>
              </a:ln>
              <a:effectLst/>
            </c:spPr>
            <c:trendlineType val="movingAvg"/>
            <c:period val="3"/>
            <c:dispRSqr val="0"/>
            <c:dispEq val="0"/>
          </c:trendline>
          <c:cat>
            <c:multiLvlStrRef>
              <c:f>Analysis!$K$73:$K$259</c:f>
              <c:multiLvlStrCache>
                <c:ptCount val="93"/>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pt idx="15">
                    <c:v>Apr</c:v>
                  </c:pt>
                  <c:pt idx="16">
                    <c:v>May</c:v>
                  </c:pt>
                  <c:pt idx="17">
                    <c:v>Jun</c:v>
                  </c:pt>
                  <c:pt idx="18">
                    <c:v>Jul</c:v>
                  </c:pt>
                  <c:pt idx="19">
                    <c:v>Aug</c:v>
                  </c:pt>
                  <c:pt idx="20">
                    <c:v>Sep</c:v>
                  </c:pt>
                  <c:pt idx="21">
                    <c:v>Oct</c:v>
                  </c:pt>
                  <c:pt idx="22">
                    <c:v>Nov</c:v>
                  </c:pt>
                  <c:pt idx="23">
                    <c:v>Dec</c:v>
                  </c:pt>
                  <c:pt idx="24">
                    <c:v>Jan</c:v>
                  </c:pt>
                  <c:pt idx="25">
                    <c:v>Feb</c:v>
                  </c:pt>
                  <c:pt idx="26">
                    <c:v>Mar</c:v>
                  </c:pt>
                  <c:pt idx="27">
                    <c:v>Apr</c:v>
                  </c:pt>
                  <c:pt idx="28">
                    <c:v>May</c:v>
                  </c:pt>
                  <c:pt idx="29">
                    <c:v>Jun</c:v>
                  </c:pt>
                  <c:pt idx="30">
                    <c:v>Jul</c:v>
                  </c:pt>
                  <c:pt idx="31">
                    <c:v>Aug</c:v>
                  </c:pt>
                  <c:pt idx="32">
                    <c:v>Sep</c:v>
                  </c:pt>
                  <c:pt idx="33">
                    <c:v>Oct</c:v>
                  </c:pt>
                  <c:pt idx="34">
                    <c:v>Nov</c:v>
                  </c:pt>
                  <c:pt idx="35">
                    <c:v>Dec</c:v>
                  </c:pt>
                  <c:pt idx="36">
                    <c:v>Jan</c:v>
                  </c:pt>
                  <c:pt idx="37">
                    <c:v>Feb</c:v>
                  </c:pt>
                  <c:pt idx="38">
                    <c:v>Mar</c:v>
                  </c:pt>
                  <c:pt idx="39">
                    <c:v>Apr</c:v>
                  </c:pt>
                  <c:pt idx="40">
                    <c:v>May</c:v>
                  </c:pt>
                  <c:pt idx="41">
                    <c:v>Jun</c:v>
                  </c:pt>
                  <c:pt idx="42">
                    <c:v>Jul</c:v>
                  </c:pt>
                  <c:pt idx="43">
                    <c:v>Aug</c:v>
                  </c:pt>
                  <c:pt idx="44">
                    <c:v>Sep</c:v>
                  </c:pt>
                  <c:pt idx="45">
                    <c:v>Oct</c:v>
                  </c:pt>
                  <c:pt idx="46">
                    <c:v>Nov</c:v>
                  </c:pt>
                  <c:pt idx="47">
                    <c:v>Dec</c:v>
                  </c:pt>
                  <c:pt idx="48">
                    <c:v>Jan</c:v>
                  </c:pt>
                  <c:pt idx="49">
                    <c:v>Feb</c:v>
                  </c:pt>
                  <c:pt idx="50">
                    <c:v>Mar</c:v>
                  </c:pt>
                  <c:pt idx="51">
                    <c:v>Apr</c:v>
                  </c:pt>
                  <c:pt idx="52">
                    <c:v>May</c:v>
                  </c:pt>
                  <c:pt idx="53">
                    <c:v>Jun</c:v>
                  </c:pt>
                  <c:pt idx="54">
                    <c:v>Jul</c:v>
                  </c:pt>
                  <c:pt idx="55">
                    <c:v>Aug</c:v>
                  </c:pt>
                  <c:pt idx="56">
                    <c:v>Sep</c:v>
                  </c:pt>
                  <c:pt idx="57">
                    <c:v>Oct</c:v>
                  </c:pt>
                  <c:pt idx="58">
                    <c:v>Nov</c:v>
                  </c:pt>
                  <c:pt idx="59">
                    <c:v>Dec</c:v>
                  </c:pt>
                  <c:pt idx="60">
                    <c:v>Jan</c:v>
                  </c:pt>
                  <c:pt idx="61">
                    <c:v>Feb</c:v>
                  </c:pt>
                  <c:pt idx="62">
                    <c:v>Mar</c:v>
                  </c:pt>
                  <c:pt idx="63">
                    <c:v>Apr</c:v>
                  </c:pt>
                  <c:pt idx="64">
                    <c:v>May</c:v>
                  </c:pt>
                  <c:pt idx="65">
                    <c:v>Jun</c:v>
                  </c:pt>
                  <c:pt idx="66">
                    <c:v>Jul</c:v>
                  </c:pt>
                  <c:pt idx="67">
                    <c:v>Aug</c:v>
                  </c:pt>
                  <c:pt idx="68">
                    <c:v>Sep</c:v>
                  </c:pt>
                  <c:pt idx="69">
                    <c:v>Oct</c:v>
                  </c:pt>
                  <c:pt idx="70">
                    <c:v>Nov</c:v>
                  </c:pt>
                  <c:pt idx="71">
                    <c:v>Dec</c:v>
                  </c:pt>
                  <c:pt idx="72">
                    <c:v>Jan</c:v>
                  </c:pt>
                  <c:pt idx="73">
                    <c:v>Feb</c:v>
                  </c:pt>
                  <c:pt idx="74">
                    <c:v>Mar</c:v>
                  </c:pt>
                  <c:pt idx="75">
                    <c:v>Apr</c:v>
                  </c:pt>
                  <c:pt idx="76">
                    <c:v>May</c:v>
                  </c:pt>
                  <c:pt idx="77">
                    <c:v>Jun</c:v>
                  </c:pt>
                  <c:pt idx="78">
                    <c:v>Jul</c:v>
                  </c:pt>
                  <c:pt idx="79">
                    <c:v>Aug</c:v>
                  </c:pt>
                  <c:pt idx="80">
                    <c:v>Sep</c:v>
                  </c:pt>
                  <c:pt idx="81">
                    <c:v>Oct</c:v>
                  </c:pt>
                  <c:pt idx="82">
                    <c:v>Nov</c:v>
                  </c:pt>
                  <c:pt idx="83">
                    <c:v>Dec</c:v>
                  </c:pt>
                  <c:pt idx="84">
                    <c:v>Jan</c:v>
                  </c:pt>
                  <c:pt idx="85">
                    <c:v>Feb</c:v>
                  </c:pt>
                  <c:pt idx="86">
                    <c:v>Mar</c:v>
                  </c:pt>
                  <c:pt idx="87">
                    <c:v>Apr</c:v>
                  </c:pt>
                  <c:pt idx="88">
                    <c:v>May</c:v>
                  </c:pt>
                  <c:pt idx="89">
                    <c:v>Jun</c:v>
                  </c:pt>
                  <c:pt idx="90">
                    <c:v>Jul</c:v>
                  </c:pt>
                  <c:pt idx="91">
                    <c:v>Aug</c:v>
                  </c:pt>
                  <c:pt idx="92">
                    <c:v>Sep</c:v>
                  </c:pt>
                </c:lvl>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lvl>
              </c:multiLvlStrCache>
            </c:multiLvlStrRef>
          </c:cat>
          <c:val>
            <c:numRef>
              <c:f>Analysis!$Q$73:$Q$259</c:f>
              <c:numCache>
                <c:formatCode>General</c:formatCode>
                <c:ptCount val="93"/>
                <c:pt idx="60">
                  <c:v>103.74860000000001</c:v>
                </c:pt>
                <c:pt idx="61">
                  <c:v>54.58</c:v>
                </c:pt>
                <c:pt idx="62">
                  <c:v>160.22</c:v>
                </c:pt>
                <c:pt idx="63">
                  <c:v>301.19</c:v>
                </c:pt>
                <c:pt idx="64">
                  <c:v>178.54</c:v>
                </c:pt>
                <c:pt idx="65">
                  <c:v>307.21799999999996</c:v>
                </c:pt>
                <c:pt idx="66">
                  <c:v>362.5</c:v>
                </c:pt>
                <c:pt idx="67">
                  <c:v>497.44000000000005</c:v>
                </c:pt>
                <c:pt idx="68">
                  <c:v>261.70699999999999</c:v>
                </c:pt>
                <c:pt idx="69">
                  <c:v>280.92669999999998</c:v>
                </c:pt>
                <c:pt idx="70">
                  <c:v>25.82</c:v>
                </c:pt>
                <c:pt idx="71">
                  <c:v>224.76600000000002</c:v>
                </c:pt>
              </c:numCache>
            </c:numRef>
          </c:val>
          <c:smooth val="0"/>
        </c:ser>
        <c:ser>
          <c:idx val="6"/>
          <c:order val="6"/>
          <c:tx>
            <c:strRef>
              <c:f>Analysis!$R$71:$R$72</c:f>
              <c:strCache>
                <c:ptCount val="1"/>
                <c:pt idx="0">
                  <c:v>2016</c:v>
                </c:pt>
              </c:strCache>
            </c:strRef>
          </c:tx>
          <c:spPr>
            <a:ln w="28575" cap="rnd">
              <a:noFill/>
              <a:round/>
            </a:ln>
            <a:effectLst/>
          </c:spPr>
          <c:marker>
            <c:symbol val="circle"/>
            <c:size val="5"/>
            <c:spPr>
              <a:solidFill>
                <a:schemeClr val="accent1">
                  <a:lumMod val="60000"/>
                </a:schemeClr>
              </a:solidFill>
              <a:ln w="9525">
                <a:solidFill>
                  <a:schemeClr val="accent1">
                    <a:lumMod val="60000"/>
                  </a:schemeClr>
                </a:solidFill>
              </a:ln>
              <a:effectLst/>
            </c:spPr>
          </c:marker>
          <c:trendline>
            <c:spPr>
              <a:ln w="19050" cap="rnd">
                <a:solidFill>
                  <a:schemeClr val="accent1">
                    <a:lumMod val="60000"/>
                  </a:schemeClr>
                </a:solidFill>
                <a:prstDash val="sysDot"/>
              </a:ln>
              <a:effectLst/>
            </c:spPr>
            <c:trendlineType val="movingAvg"/>
            <c:period val="3"/>
            <c:dispRSqr val="0"/>
            <c:dispEq val="0"/>
          </c:trendline>
          <c:cat>
            <c:multiLvlStrRef>
              <c:f>Analysis!$K$73:$K$259</c:f>
              <c:multiLvlStrCache>
                <c:ptCount val="93"/>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pt idx="15">
                    <c:v>Apr</c:v>
                  </c:pt>
                  <c:pt idx="16">
                    <c:v>May</c:v>
                  </c:pt>
                  <c:pt idx="17">
                    <c:v>Jun</c:v>
                  </c:pt>
                  <c:pt idx="18">
                    <c:v>Jul</c:v>
                  </c:pt>
                  <c:pt idx="19">
                    <c:v>Aug</c:v>
                  </c:pt>
                  <c:pt idx="20">
                    <c:v>Sep</c:v>
                  </c:pt>
                  <c:pt idx="21">
                    <c:v>Oct</c:v>
                  </c:pt>
                  <c:pt idx="22">
                    <c:v>Nov</c:v>
                  </c:pt>
                  <c:pt idx="23">
                    <c:v>Dec</c:v>
                  </c:pt>
                  <c:pt idx="24">
                    <c:v>Jan</c:v>
                  </c:pt>
                  <c:pt idx="25">
                    <c:v>Feb</c:v>
                  </c:pt>
                  <c:pt idx="26">
                    <c:v>Mar</c:v>
                  </c:pt>
                  <c:pt idx="27">
                    <c:v>Apr</c:v>
                  </c:pt>
                  <c:pt idx="28">
                    <c:v>May</c:v>
                  </c:pt>
                  <c:pt idx="29">
                    <c:v>Jun</c:v>
                  </c:pt>
                  <c:pt idx="30">
                    <c:v>Jul</c:v>
                  </c:pt>
                  <c:pt idx="31">
                    <c:v>Aug</c:v>
                  </c:pt>
                  <c:pt idx="32">
                    <c:v>Sep</c:v>
                  </c:pt>
                  <c:pt idx="33">
                    <c:v>Oct</c:v>
                  </c:pt>
                  <c:pt idx="34">
                    <c:v>Nov</c:v>
                  </c:pt>
                  <c:pt idx="35">
                    <c:v>Dec</c:v>
                  </c:pt>
                  <c:pt idx="36">
                    <c:v>Jan</c:v>
                  </c:pt>
                  <c:pt idx="37">
                    <c:v>Feb</c:v>
                  </c:pt>
                  <c:pt idx="38">
                    <c:v>Mar</c:v>
                  </c:pt>
                  <c:pt idx="39">
                    <c:v>Apr</c:v>
                  </c:pt>
                  <c:pt idx="40">
                    <c:v>May</c:v>
                  </c:pt>
                  <c:pt idx="41">
                    <c:v>Jun</c:v>
                  </c:pt>
                  <c:pt idx="42">
                    <c:v>Jul</c:v>
                  </c:pt>
                  <c:pt idx="43">
                    <c:v>Aug</c:v>
                  </c:pt>
                  <c:pt idx="44">
                    <c:v>Sep</c:v>
                  </c:pt>
                  <c:pt idx="45">
                    <c:v>Oct</c:v>
                  </c:pt>
                  <c:pt idx="46">
                    <c:v>Nov</c:v>
                  </c:pt>
                  <c:pt idx="47">
                    <c:v>Dec</c:v>
                  </c:pt>
                  <c:pt idx="48">
                    <c:v>Jan</c:v>
                  </c:pt>
                  <c:pt idx="49">
                    <c:v>Feb</c:v>
                  </c:pt>
                  <c:pt idx="50">
                    <c:v>Mar</c:v>
                  </c:pt>
                  <c:pt idx="51">
                    <c:v>Apr</c:v>
                  </c:pt>
                  <c:pt idx="52">
                    <c:v>May</c:v>
                  </c:pt>
                  <c:pt idx="53">
                    <c:v>Jun</c:v>
                  </c:pt>
                  <c:pt idx="54">
                    <c:v>Jul</c:v>
                  </c:pt>
                  <c:pt idx="55">
                    <c:v>Aug</c:v>
                  </c:pt>
                  <c:pt idx="56">
                    <c:v>Sep</c:v>
                  </c:pt>
                  <c:pt idx="57">
                    <c:v>Oct</c:v>
                  </c:pt>
                  <c:pt idx="58">
                    <c:v>Nov</c:v>
                  </c:pt>
                  <c:pt idx="59">
                    <c:v>Dec</c:v>
                  </c:pt>
                  <c:pt idx="60">
                    <c:v>Jan</c:v>
                  </c:pt>
                  <c:pt idx="61">
                    <c:v>Feb</c:v>
                  </c:pt>
                  <c:pt idx="62">
                    <c:v>Mar</c:v>
                  </c:pt>
                  <c:pt idx="63">
                    <c:v>Apr</c:v>
                  </c:pt>
                  <c:pt idx="64">
                    <c:v>May</c:v>
                  </c:pt>
                  <c:pt idx="65">
                    <c:v>Jun</c:v>
                  </c:pt>
                  <c:pt idx="66">
                    <c:v>Jul</c:v>
                  </c:pt>
                  <c:pt idx="67">
                    <c:v>Aug</c:v>
                  </c:pt>
                  <c:pt idx="68">
                    <c:v>Sep</c:v>
                  </c:pt>
                  <c:pt idx="69">
                    <c:v>Oct</c:v>
                  </c:pt>
                  <c:pt idx="70">
                    <c:v>Nov</c:v>
                  </c:pt>
                  <c:pt idx="71">
                    <c:v>Dec</c:v>
                  </c:pt>
                  <c:pt idx="72">
                    <c:v>Jan</c:v>
                  </c:pt>
                  <c:pt idx="73">
                    <c:v>Feb</c:v>
                  </c:pt>
                  <c:pt idx="74">
                    <c:v>Mar</c:v>
                  </c:pt>
                  <c:pt idx="75">
                    <c:v>Apr</c:v>
                  </c:pt>
                  <c:pt idx="76">
                    <c:v>May</c:v>
                  </c:pt>
                  <c:pt idx="77">
                    <c:v>Jun</c:v>
                  </c:pt>
                  <c:pt idx="78">
                    <c:v>Jul</c:v>
                  </c:pt>
                  <c:pt idx="79">
                    <c:v>Aug</c:v>
                  </c:pt>
                  <c:pt idx="80">
                    <c:v>Sep</c:v>
                  </c:pt>
                  <c:pt idx="81">
                    <c:v>Oct</c:v>
                  </c:pt>
                  <c:pt idx="82">
                    <c:v>Nov</c:v>
                  </c:pt>
                  <c:pt idx="83">
                    <c:v>Dec</c:v>
                  </c:pt>
                  <c:pt idx="84">
                    <c:v>Jan</c:v>
                  </c:pt>
                  <c:pt idx="85">
                    <c:v>Feb</c:v>
                  </c:pt>
                  <c:pt idx="86">
                    <c:v>Mar</c:v>
                  </c:pt>
                  <c:pt idx="87">
                    <c:v>Apr</c:v>
                  </c:pt>
                  <c:pt idx="88">
                    <c:v>May</c:v>
                  </c:pt>
                  <c:pt idx="89">
                    <c:v>Jun</c:v>
                  </c:pt>
                  <c:pt idx="90">
                    <c:v>Jul</c:v>
                  </c:pt>
                  <c:pt idx="91">
                    <c:v>Aug</c:v>
                  </c:pt>
                  <c:pt idx="92">
                    <c:v>Sep</c:v>
                  </c:pt>
                </c:lvl>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lvl>
              </c:multiLvlStrCache>
            </c:multiLvlStrRef>
          </c:cat>
          <c:val>
            <c:numRef>
              <c:f>Analysis!$R$73:$R$259</c:f>
              <c:numCache>
                <c:formatCode>General</c:formatCode>
                <c:ptCount val="93"/>
                <c:pt idx="72">
                  <c:v>0</c:v>
                </c:pt>
                <c:pt idx="73">
                  <c:v>60.827729999999995</c:v>
                </c:pt>
                <c:pt idx="74">
                  <c:v>43.529000000000003</c:v>
                </c:pt>
                <c:pt idx="75">
                  <c:v>43.538000000000004</c:v>
                </c:pt>
                <c:pt idx="76">
                  <c:v>86.384000000000015</c:v>
                </c:pt>
                <c:pt idx="77">
                  <c:v>45.722700000000003</c:v>
                </c:pt>
                <c:pt idx="78">
                  <c:v>14.405000000000001</c:v>
                </c:pt>
                <c:pt idx="79">
                  <c:v>203.5</c:v>
                </c:pt>
                <c:pt idx="80">
                  <c:v>90</c:v>
                </c:pt>
                <c:pt idx="81">
                  <c:v>78.318000000000012</c:v>
                </c:pt>
                <c:pt idx="82">
                  <c:v>1</c:v>
                </c:pt>
                <c:pt idx="83">
                  <c:v>0.5</c:v>
                </c:pt>
              </c:numCache>
            </c:numRef>
          </c:val>
          <c:smooth val="0"/>
        </c:ser>
        <c:ser>
          <c:idx val="7"/>
          <c:order val="7"/>
          <c:tx>
            <c:strRef>
              <c:f>Analysis!$S$71:$S$72</c:f>
              <c:strCache>
                <c:ptCount val="1"/>
                <c:pt idx="0">
                  <c:v>2017</c:v>
                </c:pt>
              </c:strCache>
            </c:strRef>
          </c:tx>
          <c:spPr>
            <a:ln w="25400" cap="rnd">
              <a:noFill/>
              <a:round/>
            </a:ln>
            <a:effectLst/>
          </c:spPr>
          <c:marker>
            <c:symbol val="circle"/>
            <c:size val="5"/>
            <c:spPr>
              <a:solidFill>
                <a:schemeClr val="accent2">
                  <a:lumMod val="60000"/>
                </a:schemeClr>
              </a:solidFill>
              <a:ln w="9525">
                <a:solidFill>
                  <a:schemeClr val="accent2">
                    <a:lumMod val="60000"/>
                  </a:schemeClr>
                </a:solidFill>
              </a:ln>
              <a:effectLst/>
            </c:spPr>
          </c:marker>
          <c:trendline>
            <c:spPr>
              <a:ln w="19050" cap="rnd">
                <a:solidFill>
                  <a:schemeClr val="accent2">
                    <a:lumMod val="60000"/>
                  </a:schemeClr>
                </a:solidFill>
                <a:prstDash val="sysDot"/>
              </a:ln>
              <a:effectLst/>
            </c:spPr>
            <c:trendlineType val="movingAvg"/>
            <c:period val="3"/>
            <c:dispRSqr val="0"/>
            <c:dispEq val="0"/>
          </c:trendline>
          <c:cat>
            <c:multiLvlStrRef>
              <c:f>Analysis!$K$73:$K$259</c:f>
              <c:multiLvlStrCache>
                <c:ptCount val="93"/>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pt idx="15">
                    <c:v>Apr</c:v>
                  </c:pt>
                  <c:pt idx="16">
                    <c:v>May</c:v>
                  </c:pt>
                  <c:pt idx="17">
                    <c:v>Jun</c:v>
                  </c:pt>
                  <c:pt idx="18">
                    <c:v>Jul</c:v>
                  </c:pt>
                  <c:pt idx="19">
                    <c:v>Aug</c:v>
                  </c:pt>
                  <c:pt idx="20">
                    <c:v>Sep</c:v>
                  </c:pt>
                  <c:pt idx="21">
                    <c:v>Oct</c:v>
                  </c:pt>
                  <c:pt idx="22">
                    <c:v>Nov</c:v>
                  </c:pt>
                  <c:pt idx="23">
                    <c:v>Dec</c:v>
                  </c:pt>
                  <c:pt idx="24">
                    <c:v>Jan</c:v>
                  </c:pt>
                  <c:pt idx="25">
                    <c:v>Feb</c:v>
                  </c:pt>
                  <c:pt idx="26">
                    <c:v>Mar</c:v>
                  </c:pt>
                  <c:pt idx="27">
                    <c:v>Apr</c:v>
                  </c:pt>
                  <c:pt idx="28">
                    <c:v>May</c:v>
                  </c:pt>
                  <c:pt idx="29">
                    <c:v>Jun</c:v>
                  </c:pt>
                  <c:pt idx="30">
                    <c:v>Jul</c:v>
                  </c:pt>
                  <c:pt idx="31">
                    <c:v>Aug</c:v>
                  </c:pt>
                  <c:pt idx="32">
                    <c:v>Sep</c:v>
                  </c:pt>
                  <c:pt idx="33">
                    <c:v>Oct</c:v>
                  </c:pt>
                  <c:pt idx="34">
                    <c:v>Nov</c:v>
                  </c:pt>
                  <c:pt idx="35">
                    <c:v>Dec</c:v>
                  </c:pt>
                  <c:pt idx="36">
                    <c:v>Jan</c:v>
                  </c:pt>
                  <c:pt idx="37">
                    <c:v>Feb</c:v>
                  </c:pt>
                  <c:pt idx="38">
                    <c:v>Mar</c:v>
                  </c:pt>
                  <c:pt idx="39">
                    <c:v>Apr</c:v>
                  </c:pt>
                  <c:pt idx="40">
                    <c:v>May</c:v>
                  </c:pt>
                  <c:pt idx="41">
                    <c:v>Jun</c:v>
                  </c:pt>
                  <c:pt idx="42">
                    <c:v>Jul</c:v>
                  </c:pt>
                  <c:pt idx="43">
                    <c:v>Aug</c:v>
                  </c:pt>
                  <c:pt idx="44">
                    <c:v>Sep</c:v>
                  </c:pt>
                  <c:pt idx="45">
                    <c:v>Oct</c:v>
                  </c:pt>
                  <c:pt idx="46">
                    <c:v>Nov</c:v>
                  </c:pt>
                  <c:pt idx="47">
                    <c:v>Dec</c:v>
                  </c:pt>
                  <c:pt idx="48">
                    <c:v>Jan</c:v>
                  </c:pt>
                  <c:pt idx="49">
                    <c:v>Feb</c:v>
                  </c:pt>
                  <c:pt idx="50">
                    <c:v>Mar</c:v>
                  </c:pt>
                  <c:pt idx="51">
                    <c:v>Apr</c:v>
                  </c:pt>
                  <c:pt idx="52">
                    <c:v>May</c:v>
                  </c:pt>
                  <c:pt idx="53">
                    <c:v>Jun</c:v>
                  </c:pt>
                  <c:pt idx="54">
                    <c:v>Jul</c:v>
                  </c:pt>
                  <c:pt idx="55">
                    <c:v>Aug</c:v>
                  </c:pt>
                  <c:pt idx="56">
                    <c:v>Sep</c:v>
                  </c:pt>
                  <c:pt idx="57">
                    <c:v>Oct</c:v>
                  </c:pt>
                  <c:pt idx="58">
                    <c:v>Nov</c:v>
                  </c:pt>
                  <c:pt idx="59">
                    <c:v>Dec</c:v>
                  </c:pt>
                  <c:pt idx="60">
                    <c:v>Jan</c:v>
                  </c:pt>
                  <c:pt idx="61">
                    <c:v>Feb</c:v>
                  </c:pt>
                  <c:pt idx="62">
                    <c:v>Mar</c:v>
                  </c:pt>
                  <c:pt idx="63">
                    <c:v>Apr</c:v>
                  </c:pt>
                  <c:pt idx="64">
                    <c:v>May</c:v>
                  </c:pt>
                  <c:pt idx="65">
                    <c:v>Jun</c:v>
                  </c:pt>
                  <c:pt idx="66">
                    <c:v>Jul</c:v>
                  </c:pt>
                  <c:pt idx="67">
                    <c:v>Aug</c:v>
                  </c:pt>
                  <c:pt idx="68">
                    <c:v>Sep</c:v>
                  </c:pt>
                  <c:pt idx="69">
                    <c:v>Oct</c:v>
                  </c:pt>
                  <c:pt idx="70">
                    <c:v>Nov</c:v>
                  </c:pt>
                  <c:pt idx="71">
                    <c:v>Dec</c:v>
                  </c:pt>
                  <c:pt idx="72">
                    <c:v>Jan</c:v>
                  </c:pt>
                  <c:pt idx="73">
                    <c:v>Feb</c:v>
                  </c:pt>
                  <c:pt idx="74">
                    <c:v>Mar</c:v>
                  </c:pt>
                  <c:pt idx="75">
                    <c:v>Apr</c:v>
                  </c:pt>
                  <c:pt idx="76">
                    <c:v>May</c:v>
                  </c:pt>
                  <c:pt idx="77">
                    <c:v>Jun</c:v>
                  </c:pt>
                  <c:pt idx="78">
                    <c:v>Jul</c:v>
                  </c:pt>
                  <c:pt idx="79">
                    <c:v>Aug</c:v>
                  </c:pt>
                  <c:pt idx="80">
                    <c:v>Sep</c:v>
                  </c:pt>
                  <c:pt idx="81">
                    <c:v>Oct</c:v>
                  </c:pt>
                  <c:pt idx="82">
                    <c:v>Nov</c:v>
                  </c:pt>
                  <c:pt idx="83">
                    <c:v>Dec</c:v>
                  </c:pt>
                  <c:pt idx="84">
                    <c:v>Jan</c:v>
                  </c:pt>
                  <c:pt idx="85">
                    <c:v>Feb</c:v>
                  </c:pt>
                  <c:pt idx="86">
                    <c:v>Mar</c:v>
                  </c:pt>
                  <c:pt idx="87">
                    <c:v>Apr</c:v>
                  </c:pt>
                  <c:pt idx="88">
                    <c:v>May</c:v>
                  </c:pt>
                  <c:pt idx="89">
                    <c:v>Jun</c:v>
                  </c:pt>
                  <c:pt idx="90">
                    <c:v>Jul</c:v>
                  </c:pt>
                  <c:pt idx="91">
                    <c:v>Aug</c:v>
                  </c:pt>
                  <c:pt idx="92">
                    <c:v>Sep</c:v>
                  </c:pt>
                </c:lvl>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lvl>
              </c:multiLvlStrCache>
            </c:multiLvlStrRef>
          </c:cat>
          <c:val>
            <c:numRef>
              <c:f>Analysis!$S$73:$S$259</c:f>
              <c:numCache>
                <c:formatCode>General</c:formatCode>
                <c:ptCount val="93"/>
                <c:pt idx="84">
                  <c:v>14.389000000000001</c:v>
                </c:pt>
                <c:pt idx="85">
                  <c:v>50.896999999999998</c:v>
                </c:pt>
                <c:pt idx="86">
                  <c:v>0</c:v>
                </c:pt>
                <c:pt idx="87">
                  <c:v>1.052</c:v>
                </c:pt>
                <c:pt idx="88">
                  <c:v>14.751200000000001</c:v>
                </c:pt>
                <c:pt idx="89">
                  <c:v>5.95</c:v>
                </c:pt>
                <c:pt idx="90">
                  <c:v>5.95</c:v>
                </c:pt>
                <c:pt idx="91">
                  <c:v>38.1</c:v>
                </c:pt>
                <c:pt idx="92">
                  <c:v>14.686</c:v>
                </c:pt>
              </c:numCache>
            </c:numRef>
          </c:val>
          <c:smooth val="0"/>
        </c:ser>
        <c:dLbls>
          <c:showLegendKey val="0"/>
          <c:showVal val="0"/>
          <c:showCatName val="0"/>
          <c:showSerName val="0"/>
          <c:showPercent val="0"/>
          <c:showBubbleSize val="0"/>
        </c:dLbls>
        <c:marker val="1"/>
        <c:smooth val="0"/>
        <c:axId val="617253400"/>
        <c:axId val="617247520"/>
      </c:lineChart>
      <c:catAx>
        <c:axId val="6172534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7247520"/>
        <c:crosses val="autoZero"/>
        <c:auto val="1"/>
        <c:lblAlgn val="ctr"/>
        <c:lblOffset val="100"/>
        <c:noMultiLvlLbl val="1"/>
      </c:catAx>
      <c:valAx>
        <c:axId val="617247520"/>
        <c:scaling>
          <c:orientation val="minMax"/>
        </c:scaling>
        <c:delete val="0"/>
        <c:axPos val="l"/>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NZ" sz="1000" b="0" i="0" baseline="0">
                    <a:effectLst/>
                  </a:rPr>
                  <a:t>Volume (m</a:t>
                </a:r>
                <a:r>
                  <a:rPr lang="en-NZ" sz="1000" b="0" i="0" baseline="30000">
                    <a:effectLst/>
                  </a:rPr>
                  <a:t>3</a:t>
                </a:r>
                <a:r>
                  <a:rPr lang="en-NZ" sz="1000" b="0" i="0" baseline="0">
                    <a:effectLst/>
                  </a:rPr>
                  <a:t>)</a:t>
                </a:r>
                <a:endParaRPr lang="en-NZ" sz="1000">
                  <a:effectLst/>
                </a:endParaRPr>
              </a:p>
            </c:rich>
          </c:tx>
          <c:layout/>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7253400"/>
        <c:crosses val="autoZero"/>
        <c:crossBetween val="between"/>
      </c:valAx>
      <c:spPr>
        <a:noFill/>
        <a:ln>
          <a:noFill/>
        </a:ln>
        <a:effectLst/>
      </c:spPr>
    </c:plotArea>
    <c:legend>
      <c:legendPos val="r"/>
      <c:legendEntry>
        <c:idx val="8"/>
        <c:delete val="1"/>
      </c:legendEntry>
      <c:legendEntry>
        <c:idx val="9"/>
        <c:delete val="1"/>
      </c:legendEntry>
      <c:legendEntry>
        <c:idx val="10"/>
        <c:delete val="1"/>
      </c:legendEntry>
      <c:legendEntry>
        <c:idx val="11"/>
        <c:delete val="1"/>
      </c:legendEntry>
      <c:legendEntry>
        <c:idx val="12"/>
        <c:delete val="1"/>
      </c:legendEntry>
      <c:legendEntry>
        <c:idx val="13"/>
        <c:delete val="1"/>
      </c:legendEntry>
      <c:legendEntry>
        <c:idx val="14"/>
        <c:delete val="1"/>
      </c:legendEntry>
      <c:legendEntry>
        <c:idx val="15"/>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CatchAll xmlns="e7817260-61f4-4c64-afc4-46626fa390cc">
      <Value>740</Value>
      <Value>1264</Value>
      <Value>1263</Value>
      <Value>25</Value>
    </TaxCatchAll>
    <TaxKeywordTaxHTField xmlns="e7817260-61f4-4c64-afc4-46626fa390cc">
      <Terms xmlns="http://schemas.microsoft.com/office/infopath/2007/PartnerControls"/>
    </TaxKeywordTaxHTField>
    <Correspondence_x0020_Document_x0020_Type xmlns="e7817260-61f4-4c64-afc4-46626fa390cc" xsi:nil="true"/>
    <b69b9bb84d18470cac562af952450031 xmlns="e7817260-61f4-4c64-afc4-46626fa390cc">
      <Terms xmlns="http://schemas.microsoft.com/office/infopath/2007/PartnerControls">
        <TermInfo xmlns="http://schemas.microsoft.com/office/infopath/2007/PartnerControls">
          <TermName xmlns="http://schemas.microsoft.com/office/infopath/2007/PartnerControls">Regulation ＆ Assurance</TermName>
          <TermId xmlns="http://schemas.microsoft.com/office/infopath/2007/PartnerControls">2d993a0a-1880-4371-a9ef-6ec2acc01426</TermId>
        </TermInfo>
      </Terms>
    </b69b9bb84d18470cac562af952450031>
    <CorrespondenceReference xmlns="e7817260-61f4-4c64-afc4-46626fa390cc">AM17-0757</CorrespondenceReference>
    <e617130a67b84f6f8ab5e3971f8df936 xmlns="e7817260-61f4-4c64-afc4-46626fa390cc">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e617130a67b84f6f8ab5e3971f8df936>
    <n217f9e94fa9442aaa16ceb72c252530 xmlns="e7817260-61f4-4c64-afc4-46626fa390cc">
      <Terms xmlns="http://schemas.microsoft.com/office/infopath/2007/PartnerControls">
        <TermInfo xmlns="http://schemas.microsoft.com/office/infopath/2007/PartnerControls">
          <TermName xmlns="http://schemas.microsoft.com/office/infopath/2007/PartnerControls">Forestry</TermName>
          <TermId xmlns="http://schemas.microsoft.com/office/infopath/2007/PartnerControls">54374e1d-fbd4-42bc-a4eb-111fc209a04d</TermId>
        </TermInfo>
      </Terms>
    </n217f9e94fa9442aaa16ceb72c252530>
    <DateDue xmlns="e7817260-61f4-4c64-afc4-46626fa390cc">2017-11-22T11:00:00+00:00</DateDue>
    <ja52d3b11303431e9ca7b7fabec1a69a xmlns="e7817260-61f4-4c64-afc4-46626fa390cc">
      <Terms xmlns="http://schemas.microsoft.com/office/infopath/2007/PartnerControls">
        <TermInfo xmlns="http://schemas.microsoft.com/office/infopath/2007/PartnerControls">
          <TermName xmlns="http://schemas.microsoft.com/office/infopath/2007/PartnerControls">Shane Jones</TermName>
          <TermId xmlns="http://schemas.microsoft.com/office/infopath/2007/PartnerControls">1f036cfd-7059-46e3-89c2-6808a758ceb0</TermId>
        </TermInfo>
      </Terms>
    </ja52d3b11303431e9ca7b7fabec1a69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respondence Document" ma:contentTypeID="0x0101005496552013C0BA46BE88192D5C6EB20B001CC8A0D2F22DFE4CA5D62B5E1B276D30004C1C1F0991753949B9525AFF21CDB812" ma:contentTypeVersion="6" ma:contentTypeDescription="" ma:contentTypeScope="" ma:versionID="7ce5480b61e322c2de72bc253633e71d">
  <xsd:schema xmlns:xsd="http://www.w3.org/2001/XMLSchema" xmlns:xs="http://www.w3.org/2001/XMLSchema" xmlns:p="http://schemas.microsoft.com/office/2006/metadata/properties" xmlns:ns2="e7817260-61f4-4c64-afc4-46626fa390cc" xmlns:ns4="01be4277-2979-4a68-876d-b92b25fceece" targetNamespace="http://schemas.microsoft.com/office/2006/metadata/properties" ma:root="true" ma:fieldsID="a7bdd30e9ecbd3fe77e69265ee0492c4" ns2:_="" ns4:_="">
    <xsd:import namespace="e7817260-61f4-4c64-afc4-46626fa390cc"/>
    <xsd:import namespace="01be4277-2979-4a68-876d-b92b25fceece"/>
    <xsd:element name="properties">
      <xsd:complexType>
        <xsd:sequence>
          <xsd:element name="documentManagement">
            <xsd:complexType>
              <xsd:all>
                <xsd:element ref="ns2:Correspondence_x0020_Document_x0020_Type" minOccurs="0"/>
                <xsd:element ref="ns4:C3TopicNote" minOccurs="0"/>
                <xsd:element ref="ns2:TaxKeywordTaxHTField" minOccurs="0"/>
                <xsd:element ref="ns2:TaxCatchAll" minOccurs="0"/>
                <xsd:element ref="ns2:TaxCatchAllLabel" minOccurs="0"/>
                <xsd:element ref="ns2:CorrespondenceReference" minOccurs="0"/>
                <xsd:element ref="ns2:DateDue" minOccurs="0"/>
                <xsd:element ref="ns2:b69b9bb84d18470cac562af952450031" minOccurs="0"/>
                <xsd:element ref="ns2:n217f9e94fa9442aaa16ceb72c252530" minOccurs="0"/>
                <xsd:element ref="ns2:ja52d3b11303431e9ca7b7fabec1a69a" minOccurs="0"/>
                <xsd:element ref="ns2:e617130a67b84f6f8ab5e3971f8df93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17260-61f4-4c64-afc4-46626fa390cc" elementFormDefault="qualified">
    <xsd:import namespace="http://schemas.microsoft.com/office/2006/documentManagement/types"/>
    <xsd:import namespace="http://schemas.microsoft.com/office/infopath/2007/PartnerControls"/>
    <xsd:element name="Correspondence_x0020_Document_x0020_Type" ma:index="2" nillable="true" ma:displayName="Correspondence Document Type" ma:indexed="true" ma:list="{cc65ce95-8417-411e-9da5-f23115399129}" ma:internalName="Correspondence_x0020_Document_x0020_Type" ma:showField="Title" ma:web="e7817260-61f4-4c64-afc4-46626fa390cc">
      <xsd:simpleType>
        <xsd:restriction base="dms:Lookup"/>
      </xsd:simpleType>
    </xsd:element>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f7f2d4e5-214d-4670-9ac4-ecaa7e95192f}" ma:internalName="TaxCatchAll" ma:showField="CatchAllData" ma:web="e7817260-61f4-4c64-afc4-46626fa390c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f2d4e5-214d-4670-9ac4-ecaa7e95192f}" ma:internalName="TaxCatchAllLabel" ma:readOnly="true" ma:showField="CatchAllDataLabel" ma:web="e7817260-61f4-4c64-afc4-46626fa390cc">
      <xsd:complexType>
        <xsd:complexContent>
          <xsd:extension base="dms:MultiChoiceLookup">
            <xsd:sequence>
              <xsd:element name="Value" type="dms:Lookup" maxOccurs="unbounded" minOccurs="0" nillable="true"/>
            </xsd:sequence>
          </xsd:extension>
        </xsd:complexContent>
      </xsd:complexType>
    </xsd:element>
    <xsd:element name="CorrespondenceReference" ma:index="16" nillable="true" ma:displayName="MPI Reference" ma:internalName="CorrespondenceReference">
      <xsd:simpleType>
        <xsd:restriction base="dms:Text"/>
      </xsd:simpleType>
    </xsd:element>
    <xsd:element name="DateDue" ma:index="18" nillable="true" ma:displayName="Date Due" ma:format="DateOnly" ma:indexed="true" ma:internalName="DateDue">
      <xsd:simpleType>
        <xsd:restriction base="dms:DateTime"/>
      </xsd:simpleType>
    </xsd:element>
    <xsd:element name="b69b9bb84d18470cac562af952450031" ma:index="19" nillable="true" ma:taxonomy="true" ma:internalName="b69b9bb84d18470cac562af952450031" ma:taxonomyFieldName="MPIBranch" ma:displayName="Branch" ma:fieldId="{b69b9bb8-4d18-470c-ac56-2af952450031}" ma:sspId="3bfd400a-bb0f-42a8-a885-98b592a0f767" ma:termSetId="69ef0645-fb11-447b-ae83-00e92b0f1434" ma:anchorId="00000000-0000-0000-0000-000000000000" ma:open="false" ma:isKeyword="false">
      <xsd:complexType>
        <xsd:sequence>
          <xsd:element ref="pc:Terms" minOccurs="0" maxOccurs="1"/>
        </xsd:sequence>
      </xsd:complexType>
    </xsd:element>
    <xsd:element name="n217f9e94fa9442aaa16ceb72c252530" ma:index="21" nillable="true" ma:taxonomy="true" ma:internalName="n217f9e94fa9442aaa16ceb72c252530" ma:taxonomyFieldName="MPIPortfolio" ma:displayName="Portfolio" ma:default="" ma:fieldId="{7217f9e9-4fa9-442a-aa16-ceb72c252530}" ma:taxonomyMulti="true" ma:sspId="3bfd400a-bb0f-42a8-a885-98b592a0f767" ma:termSetId="5b047662-acbb-4d80-bf47-c9efd601cee4" ma:anchorId="00000000-0000-0000-0000-000000000000" ma:open="false" ma:isKeyword="false">
      <xsd:complexType>
        <xsd:sequence>
          <xsd:element ref="pc:Terms" minOccurs="0" maxOccurs="1"/>
        </xsd:sequence>
      </xsd:complexType>
    </xsd:element>
    <xsd:element name="ja52d3b11303431e9ca7b7fabec1a69a" ma:index="23" nillable="true" ma:taxonomy="true" ma:internalName="ja52d3b11303431e9ca7b7fabec1a69a" ma:taxonomyFieldName="MPIMinister" ma:displayName="Minister" ma:default="" ma:fieldId="{3a52d3b1-1303-431e-9ca7-b7fabec1a69a}" ma:taxonomyMulti="true" ma:sspId="3bfd400a-bb0f-42a8-a885-98b592a0f767" ma:termSetId="45585890-8357-44eb-92e9-fe75a4298ec4" ma:anchorId="00000000-0000-0000-0000-000000000000" ma:open="false" ma:isKeyword="false">
      <xsd:complexType>
        <xsd:sequence>
          <xsd:element ref="pc:Terms" minOccurs="0" maxOccurs="1"/>
        </xsd:sequence>
      </xsd:complexType>
    </xsd:element>
    <xsd:element name="e617130a67b84f6f8ab5e3971f8df936" ma:index="25" nillable="true" ma:taxonomy="true" ma:internalName="e617130a67b84f6f8ab5e3971f8df936" ma:taxonomyFieldName="MPISecurityClassification" ma:displayName="Security Classification" ma:fieldId="{e617130a-67b8-4f6f-8ab5-e3971f8df936}" ma:sspId="3bfd400a-bb0f-42a8-a885-98b592a0f767" ma:termSetId="0585e480-f249-45e9-9d9a-827200d7ed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fieldId="{6a3fe89f-a6dd-4490-a9c1-3ef38d67b8c7}" ma:sspId="3bfd400a-bb0f-42a8-a885-98b592a0f767" ma:termSetId="caea11ae-e762-4d12-9b8c-b4766b11228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ma:index="17" ma:displayName="Subject"/>
        <xsd:element ref="dc:description" minOccurs="0" maxOccurs="1" ma:index="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6B702D-2187-4C21-86E6-DCD58A6C6115}">
  <ds:schemaRefs>
    <ds:schemaRef ds:uri="http://purl.org/dc/elements/1.1/"/>
    <ds:schemaRef ds:uri="http://schemas.microsoft.com/office/2006/metadata/properties"/>
    <ds:schemaRef ds:uri="5e43fecd-9160-45f4-99bd-a67e9a7ba39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1be4277-2979-4a68-876d-b92b25fceece"/>
    <ds:schemaRef ds:uri="http://www.w3.org/XML/1998/namespace"/>
    <ds:schemaRef ds:uri="http://purl.org/dc/dcmitype/"/>
  </ds:schemaRefs>
</ds:datastoreItem>
</file>

<file path=customXml/itemProps2.xml><?xml version="1.0" encoding="utf-8"?>
<ds:datastoreItem xmlns:ds="http://schemas.openxmlformats.org/officeDocument/2006/customXml" ds:itemID="{CF29953C-FDCA-47AA-9AB0-5C4704A652F6}">
  <ds:schemaRefs>
    <ds:schemaRef ds:uri="http://schemas.microsoft.com/sharepoint/v3/contenttype/forms"/>
  </ds:schemaRefs>
</ds:datastoreItem>
</file>

<file path=customXml/itemProps3.xml><?xml version="1.0" encoding="utf-8"?>
<ds:datastoreItem xmlns:ds="http://schemas.openxmlformats.org/officeDocument/2006/customXml" ds:itemID="{1B5E7B70-3B04-4628-9DC2-CDC80BD03D9D}"/>
</file>

<file path=docProps/app.xml><?xml version="1.0" encoding="utf-8"?>
<Properties xmlns="http://schemas.openxmlformats.org/officeDocument/2006/extended-properties" xmlns:vt="http://schemas.openxmlformats.org/officeDocument/2006/docPropsVTypes">
  <Template>Normal</Template>
  <TotalTime>3</TotalTime>
  <Pages>5</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Swamp Kauri Quarterly Update</dc:subject>
  <dc:creator>Aaron Thompson</dc:creator>
  <cp:keywords/>
  <dc:description/>
  <cp:lastModifiedBy>Sean Bates</cp:lastModifiedBy>
  <cp:revision>4</cp:revision>
  <dcterms:created xsi:type="dcterms:W3CDTF">2017-11-02T00:56:00Z</dcterms:created>
  <dcterms:modified xsi:type="dcterms:W3CDTF">2017-11-09T19:50:00Z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0x0101005496552013C0BA46BE88192D5C6EB20B001CC8A0D2F22DFE4CA5D62B5E1B276D30004C1C1F0991753949B9525AFF21CDB812</vt:lpwstr>
  </property>
  <property fmtid="{D5CDD505-2E9C-101B-9397-08002B2CF9AE}" pid="3" name="TaxKeyword">
    <vt:lpwstr/>
  </property>
  <property fmtid="{D5CDD505-2E9C-101B-9397-08002B2CF9AE}" pid="4" name="MPISecurityClassification">
    <vt:lpwstr>740;#None|cf402fa0-b6a8-49a7-a22e-a95b6152c608</vt:lpwstr>
  </property>
  <property fmtid="{D5CDD505-2E9C-101B-9397-08002B2CF9AE}" pid="5" name="RecordPoint_ActiveItemUniqueId">
    <vt:lpwstr>{0c880dae-a2cd-4074-9aa0-115a03a9b420}</vt:lpwstr>
  </property>
  <property fmtid="{D5CDD505-2E9C-101B-9397-08002B2CF9AE}" pid="6" name="PingarMPI_Terms">
    <vt:lpwstr/>
  </property>
  <property fmtid="{D5CDD505-2E9C-101B-9397-08002B2CF9AE}" pid="7" name="C3Topic">
    <vt:lpwstr/>
  </property>
  <property fmtid="{D5CDD505-2E9C-101B-9397-08002B2CF9AE}" pid="8" name="RecordPoint_WorkflowType">
    <vt:lpwstr>ActiveSubmitStub</vt:lpwstr>
  </property>
  <property fmtid="{D5CDD505-2E9C-101B-9397-08002B2CF9AE}" pid="9" name="RecordPoint_ActiveItemListId">
    <vt:lpwstr>{ff1eacd5-a169-4bf7-b4cd-cba41b01654c}</vt:lpwstr>
  </property>
  <property fmtid="{D5CDD505-2E9C-101B-9397-08002B2CF9AE}" pid="10" name="RecordPoint_ActiveItemWebId">
    <vt:lpwstr>{836a215f-3645-47fb-89f3-5c06bbcccaa9}</vt:lpwstr>
  </property>
  <property fmtid="{D5CDD505-2E9C-101B-9397-08002B2CF9AE}" pid="11" name="RecordPoint_ActiveItemSiteId">
    <vt:lpwstr>{5393146b-5a3b-44f1-a1a8-350c194f9d5b}</vt:lpwstr>
  </property>
  <property fmtid="{D5CDD505-2E9C-101B-9397-08002B2CF9AE}" pid="12" name="RecordPoint_RecordNumberSubmitted">
    <vt:lpwstr>R0001767286</vt:lpwstr>
  </property>
  <property fmtid="{D5CDD505-2E9C-101B-9397-08002B2CF9AE}" pid="13" name="RecordPoint_SubmissionCompleted">
    <vt:lpwstr>2017-11-10T19:21:59.2845457+13:00</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MPIPortfolio">
    <vt:lpwstr>1263;#Forestry|54374e1d-fbd4-42bc-a4eb-111fc209a04d</vt:lpwstr>
  </property>
  <property fmtid="{D5CDD505-2E9C-101B-9397-08002B2CF9AE}" pid="18" name="MPIMinister">
    <vt:lpwstr>1264;#Shane Jones|1f036cfd-7059-46e3-89c2-6808a758ceb0</vt:lpwstr>
  </property>
  <property fmtid="{D5CDD505-2E9C-101B-9397-08002B2CF9AE}" pid="19" name="a61e1451e5084f4086b417210275aadb">
    <vt:lpwstr/>
  </property>
  <property fmtid="{D5CDD505-2E9C-101B-9397-08002B2CF9AE}" pid="20" name="MPIBranch">
    <vt:lpwstr>25;#Regulation ＆ Assurance|2d993a0a-1880-4371-a9ef-6ec2acc01426</vt:lpwstr>
  </property>
  <property fmtid="{D5CDD505-2E9C-101B-9397-08002B2CF9AE}" pid="21" name="_docset_NoMedatataSyncRequired">
    <vt:lpwstr>False</vt:lpwstr>
  </property>
</Properties>
</file>