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774B" w14:textId="77777777" w:rsidR="00BE1937" w:rsidRDefault="00BE1937" w:rsidP="00BE1937">
      <w:pPr>
        <w:pStyle w:val="Heading1a"/>
        <w:jc w:val="center"/>
      </w:pPr>
      <w:bookmarkStart w:id="0" w:name="_Toc8117415"/>
      <w:r>
        <w:t>Im</w:t>
      </w:r>
      <w:r w:rsidR="00DE7F05">
        <w:t>ido</w:t>
      </w:r>
      <w:r>
        <w:t>carb Dipropionate (</w:t>
      </w:r>
      <w:proofErr w:type="spellStart"/>
      <w:r>
        <w:t>Imidox</w:t>
      </w:r>
      <w:proofErr w:type="spellEnd"/>
      <w:r>
        <w:t>) Ordering</w:t>
      </w:r>
      <w:bookmarkEnd w:id="0"/>
    </w:p>
    <w:p w14:paraId="3CC6774C" w14:textId="77777777" w:rsidR="00DE7F05" w:rsidRPr="00DE7F05" w:rsidRDefault="00DE7F05" w:rsidP="00DE7F05"/>
    <w:p w14:paraId="3CC6774D" w14:textId="77777777" w:rsidR="00BE1937" w:rsidRDefault="00BE1937" w:rsidP="004B4901">
      <w:pPr>
        <w:pStyle w:val="ClauseL1"/>
        <w:numPr>
          <w:ilvl w:val="0"/>
          <w:numId w:val="2"/>
        </w:numPr>
        <w:spacing w:line="276" w:lineRule="auto"/>
      </w:pPr>
      <w:r>
        <w:t>Email or fax the following form completed to AsureQuality:</w:t>
      </w:r>
    </w:p>
    <w:p w14:paraId="3CC6774F" w14:textId="1196A22C" w:rsidR="00BE1937" w:rsidRDefault="00BE1937" w:rsidP="004B4901">
      <w:pPr>
        <w:pStyle w:val="ClauseL1"/>
        <w:numPr>
          <w:ilvl w:val="0"/>
          <w:numId w:val="0"/>
        </w:numPr>
        <w:spacing w:line="276" w:lineRule="auto"/>
        <w:ind w:left="567"/>
      </w:pPr>
      <w:r>
        <w:t xml:space="preserve">Email: </w:t>
      </w:r>
      <w:hyperlink r:id="rId10" w:history="1">
        <w:r w:rsidRPr="00A477F2">
          <w:rPr>
            <w:rStyle w:val="Hyperlink"/>
          </w:rPr>
          <w:t>exports@asurequality.com</w:t>
        </w:r>
      </w:hyperlink>
    </w:p>
    <w:p w14:paraId="3CC67750" w14:textId="77777777" w:rsidR="00BE1937" w:rsidRDefault="00BE1937" w:rsidP="004B4901">
      <w:pPr>
        <w:pStyle w:val="ClauseL1"/>
        <w:spacing w:line="276" w:lineRule="auto"/>
      </w:pPr>
      <w:r>
        <w:t>For enquiries phone 0508 00 11 22, or email above address.</w:t>
      </w:r>
    </w:p>
    <w:p w14:paraId="3CC67751" w14:textId="5E60A00F" w:rsidR="00BE1937" w:rsidRDefault="00BE1937" w:rsidP="004B4901">
      <w:pPr>
        <w:pStyle w:val="ClauseL1"/>
        <w:spacing w:line="276" w:lineRule="auto"/>
      </w:pPr>
      <w:r>
        <w:t>Before requesting</w:t>
      </w:r>
      <w:r w:rsidR="00C1099A">
        <w:t xml:space="preserve"> the</w:t>
      </w:r>
      <w:r>
        <w:t xml:space="preserve"> import</w:t>
      </w:r>
      <w:r w:rsidR="00C1099A">
        <w:t>ation of Imidocarb Dipropionate</w:t>
      </w:r>
      <w:r>
        <w:t>:</w:t>
      </w:r>
    </w:p>
    <w:p w14:paraId="3CC67752" w14:textId="77777777" w:rsidR="00BE1937" w:rsidRDefault="00BE1937" w:rsidP="004B4901">
      <w:pPr>
        <w:pStyle w:val="ClauseL2"/>
        <w:spacing w:line="276" w:lineRule="auto"/>
      </w:pPr>
      <w:r>
        <w:t xml:space="preserve">AsureQuality will obtain a quote for the required amount of </w:t>
      </w:r>
      <w:proofErr w:type="spellStart"/>
      <w:r>
        <w:t>Imidox</w:t>
      </w:r>
      <w:proofErr w:type="spellEnd"/>
      <w:r>
        <w:t xml:space="preserve"> to be imported from the supplier in Australia, including freight and customs charges.</w:t>
      </w:r>
    </w:p>
    <w:p w14:paraId="3CC67753" w14:textId="40EC836F" w:rsidR="00BE1937" w:rsidRDefault="00BE1937" w:rsidP="004B4901">
      <w:pPr>
        <w:pStyle w:val="ClauseL2"/>
        <w:spacing w:line="276" w:lineRule="auto"/>
      </w:pPr>
      <w:r>
        <w:t>AsureQuality will advise the cost of</w:t>
      </w:r>
      <w:r w:rsidR="006F727B">
        <w:t xml:space="preserve"> the </w:t>
      </w:r>
      <w:proofErr w:type="spellStart"/>
      <w:r w:rsidR="006F727B">
        <w:t>Imidox</w:t>
      </w:r>
      <w:proofErr w:type="spellEnd"/>
      <w:r w:rsidR="006F727B">
        <w:t xml:space="preserve"> order to the P</w:t>
      </w:r>
      <w:r>
        <w:t>ractice</w:t>
      </w:r>
      <w:r w:rsidR="006F727B">
        <w:t xml:space="preserve"> Export M</w:t>
      </w:r>
      <w:r>
        <w:t>anager</w:t>
      </w:r>
      <w:r w:rsidR="006F727B">
        <w:t xml:space="preserve"> </w:t>
      </w:r>
      <w:r w:rsidR="00E1627A">
        <w:t>of the Approved P</w:t>
      </w:r>
      <w:r>
        <w:t xml:space="preserve">ractice and request confirmation in writing of acceptance of the sale price (email acceptable) before the </w:t>
      </w:r>
      <w:proofErr w:type="spellStart"/>
      <w:r>
        <w:t>Imidox</w:t>
      </w:r>
      <w:proofErr w:type="spellEnd"/>
      <w:r>
        <w:t xml:space="preserve"> is </w:t>
      </w:r>
      <w:r w:rsidR="00C1099A">
        <w:t xml:space="preserve">ordered and </w:t>
      </w:r>
      <w:r>
        <w:t>imported from Australia.</w:t>
      </w:r>
    </w:p>
    <w:p w14:paraId="3CC67755" w14:textId="3F5DA74F" w:rsidR="00BE1937" w:rsidRDefault="00BE1937" w:rsidP="004B4901">
      <w:pPr>
        <w:pStyle w:val="ClauseL2"/>
        <w:spacing w:line="360" w:lineRule="auto"/>
      </w:pPr>
      <w:proofErr w:type="spellStart"/>
      <w:r>
        <w:t>Imidox</w:t>
      </w:r>
      <w:proofErr w:type="spellEnd"/>
      <w:r>
        <w:t xml:space="preserve"> importation, clearance and distribution may take up to 60 days from the time of ordering.</w:t>
      </w:r>
    </w:p>
    <w:p w14:paraId="3CC67756" w14:textId="22E9580E" w:rsidR="00BE1937" w:rsidRPr="00C1099A" w:rsidRDefault="00C1099A" w:rsidP="004B4901">
      <w:pPr>
        <w:pStyle w:val="Notesindent"/>
        <w:spacing w:line="276" w:lineRule="auto"/>
        <w:ind w:hanging="567"/>
        <w:rPr>
          <w:sz w:val="22"/>
        </w:rPr>
      </w:pPr>
      <w:r w:rsidRPr="003506B1">
        <w:rPr>
          <w:bCs/>
          <w:sz w:val="22"/>
        </w:rPr>
        <w:t>(4)</w:t>
      </w:r>
      <w:r w:rsidRPr="00C1099A">
        <w:rPr>
          <w:b/>
          <w:sz w:val="22"/>
        </w:rPr>
        <w:t xml:space="preserve">       </w:t>
      </w:r>
      <w:r>
        <w:rPr>
          <w:sz w:val="22"/>
        </w:rPr>
        <w:t>D</w:t>
      </w:r>
      <w:r w:rsidR="00BE1937" w:rsidRPr="00C1099A">
        <w:rPr>
          <w:sz w:val="22"/>
        </w:rPr>
        <w:t xml:space="preserve">ue to the storage and requirements for disposal of surplus/unused </w:t>
      </w:r>
      <w:proofErr w:type="spellStart"/>
      <w:r w:rsidR="00BE1937" w:rsidRPr="00C1099A">
        <w:rPr>
          <w:sz w:val="22"/>
        </w:rPr>
        <w:t>Imidox</w:t>
      </w:r>
      <w:proofErr w:type="spellEnd"/>
      <w:r w:rsidR="00BE1937" w:rsidRPr="00C1099A">
        <w:rPr>
          <w:sz w:val="22"/>
        </w:rPr>
        <w:t xml:space="preserve">, </w:t>
      </w:r>
      <w:proofErr w:type="spellStart"/>
      <w:r w:rsidR="00BE1937" w:rsidRPr="00C1099A">
        <w:rPr>
          <w:sz w:val="22"/>
        </w:rPr>
        <w:t>AsureQuality</w:t>
      </w:r>
      <w:proofErr w:type="spellEnd"/>
      <w:r w:rsidR="00BE1937" w:rsidRPr="00C1099A">
        <w:rPr>
          <w:sz w:val="22"/>
        </w:rPr>
        <w:t xml:space="preserve"> will not issue refunds for unused/returned </w:t>
      </w:r>
      <w:proofErr w:type="spellStart"/>
      <w:r w:rsidR="00BE1937" w:rsidRPr="00C1099A">
        <w:rPr>
          <w:sz w:val="22"/>
        </w:rPr>
        <w:t>Imidox</w:t>
      </w:r>
      <w:proofErr w:type="spellEnd"/>
      <w:r w:rsidR="00BE1937" w:rsidRPr="00C1099A">
        <w:rPr>
          <w:sz w:val="22"/>
        </w:rPr>
        <w:t>.</w:t>
      </w:r>
    </w:p>
    <w:p w14:paraId="3CC67757" w14:textId="77777777" w:rsidR="00BE1937" w:rsidRDefault="00BE1937" w:rsidP="004B4901">
      <w:pPr>
        <w:pStyle w:val="NoSpacing"/>
        <w:spacing w:line="276" w:lineRule="auto"/>
      </w:pPr>
    </w:p>
    <w:p w14:paraId="3CC67758" w14:textId="77777777" w:rsidR="00BE1937" w:rsidRDefault="00BE1937" w:rsidP="004B4901">
      <w:pPr>
        <w:pStyle w:val="Heading2a"/>
        <w:spacing w:line="276" w:lineRule="auto"/>
      </w:pPr>
      <w:proofErr w:type="spellStart"/>
      <w:r>
        <w:t>Imidox</w:t>
      </w:r>
      <w:proofErr w:type="spellEnd"/>
      <w:r>
        <w:t xml:space="preserve"> Order Form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66"/>
      </w:tblGrid>
      <w:tr w:rsidR="00BE1937" w14:paraId="3CC6775B" w14:textId="77777777" w:rsidTr="00642E5D">
        <w:tc>
          <w:tcPr>
            <w:tcW w:w="4111" w:type="dxa"/>
            <w:tcBorders>
              <w:bottom w:val="single" w:sz="4" w:space="0" w:color="auto"/>
            </w:tcBorders>
          </w:tcPr>
          <w:p w14:paraId="3CC67759" w14:textId="38AE18F7" w:rsidR="00BE1937" w:rsidRDefault="00E1627A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Name of Approved</w:t>
            </w:r>
            <w:r w:rsidR="006F727B">
              <w:t xml:space="preserve"> P</w:t>
            </w:r>
            <w:r w:rsidR="00BE1937">
              <w:t>ractice: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3CC6775A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5E" w14:textId="77777777" w:rsidTr="00642E5D">
        <w:tc>
          <w:tcPr>
            <w:tcW w:w="4111" w:type="dxa"/>
            <w:tcBorders>
              <w:bottom w:val="single" w:sz="4" w:space="0" w:color="auto"/>
            </w:tcBorders>
          </w:tcPr>
          <w:p w14:paraId="3CC6775C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Approved practice number: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3CC6775D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61" w14:textId="77777777" w:rsidTr="00642E5D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C6775F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Postal address for courier: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3CC67760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64" w14:textId="77777777" w:rsidTr="00642E5D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C67762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3CC67763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67" w14:textId="77777777" w:rsidTr="00642E5D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C67765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3CC67766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3CC67768" w14:textId="77777777" w:rsidR="00BE1937" w:rsidRDefault="00BE1937" w:rsidP="004B4901">
      <w:pPr>
        <w:pStyle w:val="NoSpacing"/>
        <w:spacing w:line="276" w:lineRule="auto"/>
      </w:pPr>
    </w:p>
    <w:tbl>
      <w:tblPr>
        <w:tblStyle w:val="TableGrid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BE1937" w14:paraId="3CC6776A" w14:textId="77777777" w:rsidTr="00642E5D">
        <w:tc>
          <w:tcPr>
            <w:tcW w:w="8789" w:type="dxa"/>
            <w:gridSpan w:val="2"/>
            <w:shd w:val="clear" w:color="auto" w:fill="auto"/>
          </w:tcPr>
          <w:p w14:paraId="3CC67769" w14:textId="079341D5" w:rsidR="00BE1937" w:rsidRPr="00BA2C15" w:rsidRDefault="006F727B" w:rsidP="004B4901">
            <w:pPr>
              <w:pStyle w:val="ClauseL1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Imi</w:t>
            </w:r>
            <w:r w:rsidR="00BE1937" w:rsidRPr="00BA2C15">
              <w:rPr>
                <w:b/>
              </w:rPr>
              <w:t>dox</w:t>
            </w:r>
            <w:proofErr w:type="spellEnd"/>
            <w:r w:rsidR="00BE1937" w:rsidRPr="00BA2C15">
              <w:rPr>
                <w:b/>
              </w:rPr>
              <w:t xml:space="preserve"> (Imidocarb dipr</w:t>
            </w:r>
            <w:r w:rsidR="00586A29">
              <w:rPr>
                <w:b/>
              </w:rPr>
              <w:t>o</w:t>
            </w:r>
            <w:r w:rsidR="00BE1937" w:rsidRPr="00BA2C15">
              <w:rPr>
                <w:b/>
              </w:rPr>
              <w:t>pionate 120 mg/ml) is available in 100ml vials</w:t>
            </w:r>
          </w:p>
        </w:tc>
      </w:tr>
      <w:tr w:rsidR="00BE1937" w14:paraId="3CC6776D" w14:textId="77777777" w:rsidTr="00642E5D">
        <w:tc>
          <w:tcPr>
            <w:tcW w:w="3119" w:type="dxa"/>
          </w:tcPr>
          <w:p w14:paraId="3CC6776B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Number of 100ml vials required: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CC6776C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70" w14:textId="77777777" w:rsidTr="00642E5D">
        <w:tc>
          <w:tcPr>
            <w:tcW w:w="3119" w:type="dxa"/>
          </w:tcPr>
          <w:p w14:paraId="3CC6776E" w14:textId="6EAB793C" w:rsidR="00BE1937" w:rsidRDefault="006F727B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 xml:space="preserve">Date </w:t>
            </w:r>
            <w:proofErr w:type="spellStart"/>
            <w:r>
              <w:t>Imi</w:t>
            </w:r>
            <w:r w:rsidR="00BE1937">
              <w:t>dox</w:t>
            </w:r>
            <w:proofErr w:type="spellEnd"/>
            <w:r w:rsidR="00BE1937">
              <w:t xml:space="preserve"> required by: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CC6776F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73" w14:textId="77777777" w:rsidTr="00642E5D">
        <w:tc>
          <w:tcPr>
            <w:tcW w:w="3119" w:type="dxa"/>
          </w:tcPr>
          <w:p w14:paraId="3CC67771" w14:textId="38AD04B8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Owner name: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CC67772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76" w14:textId="77777777" w:rsidTr="00642E5D">
        <w:tc>
          <w:tcPr>
            <w:tcW w:w="3119" w:type="dxa"/>
          </w:tcPr>
          <w:p w14:paraId="3CC67774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Species: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CC67775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79" w14:textId="77777777" w:rsidTr="00642E5D">
        <w:tc>
          <w:tcPr>
            <w:tcW w:w="3119" w:type="dxa"/>
          </w:tcPr>
          <w:p w14:paraId="3CC67777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Name of animal: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CC67778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7C" w14:textId="77777777" w:rsidTr="00642E5D">
        <w:tc>
          <w:tcPr>
            <w:tcW w:w="3119" w:type="dxa"/>
          </w:tcPr>
          <w:p w14:paraId="3CC6777A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Scheduled date of export (if known):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CC6777B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80" w14:textId="77777777" w:rsidTr="00642E5D">
        <w:tc>
          <w:tcPr>
            <w:tcW w:w="3119" w:type="dxa"/>
          </w:tcPr>
          <w:p w14:paraId="3CC6777D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  <w:p w14:paraId="3CC6777E" w14:textId="509F0477" w:rsidR="00BE1937" w:rsidRDefault="006F727B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Name of MPI Approved V</w:t>
            </w:r>
            <w:r w:rsidR="00BE1937">
              <w:t>eterinarian: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CC6777F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83" w14:textId="77777777" w:rsidTr="00642E5D">
        <w:tc>
          <w:tcPr>
            <w:tcW w:w="3119" w:type="dxa"/>
          </w:tcPr>
          <w:p w14:paraId="3CC67781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Signature: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CC67782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BE1937" w14:paraId="3CC67786" w14:textId="77777777" w:rsidTr="00642E5D">
        <w:tc>
          <w:tcPr>
            <w:tcW w:w="3119" w:type="dxa"/>
          </w:tcPr>
          <w:p w14:paraId="3CC67784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CC67785" w14:textId="77777777" w:rsidR="00BE1937" w:rsidRDefault="00BE1937" w:rsidP="004B4901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0BEDCC0" w14:textId="236376EA" w:rsidR="00AA6E12" w:rsidRPr="00CE54D7" w:rsidRDefault="00AA6E12" w:rsidP="00CE54D7">
      <w:pPr>
        <w:tabs>
          <w:tab w:val="clear" w:pos="567"/>
          <w:tab w:val="clear" w:pos="1021"/>
          <w:tab w:val="clear" w:pos="1531"/>
          <w:tab w:val="left" w:pos="3300"/>
        </w:tabs>
      </w:pPr>
    </w:p>
    <w:sectPr w:rsidR="00AA6E12" w:rsidRPr="00CE54D7" w:rsidSect="00DE7F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E4BD" w14:textId="77777777" w:rsidR="00DD2238" w:rsidRDefault="00DD2238" w:rsidP="00BE1937">
      <w:pPr>
        <w:spacing w:before="0"/>
      </w:pPr>
      <w:r>
        <w:separator/>
      </w:r>
    </w:p>
  </w:endnote>
  <w:endnote w:type="continuationSeparator" w:id="0">
    <w:p w14:paraId="5822D289" w14:textId="77777777" w:rsidR="00DD2238" w:rsidRDefault="00DD2238" w:rsidP="00BE1937">
      <w:pPr>
        <w:spacing w:before="0"/>
      </w:pPr>
      <w:r>
        <w:continuationSeparator/>
      </w:r>
    </w:p>
  </w:endnote>
  <w:endnote w:type="continuationNotice" w:id="1">
    <w:p w14:paraId="0D3237A7" w14:textId="77777777" w:rsidR="005E2BDE" w:rsidRDefault="005E2BD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A1EF2" w14:textId="77777777" w:rsidR="0064601A" w:rsidRDefault="00646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9FA3" w14:textId="4907121F" w:rsidR="00FC5576" w:rsidRDefault="00C1099A" w:rsidP="00BE1937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Operational Code: </w:t>
    </w:r>
    <w:r w:rsidR="00FC5576">
      <w:rPr>
        <w:sz w:val="16"/>
        <w:szCs w:val="16"/>
      </w:rPr>
      <w:t xml:space="preserve">Cats and Dogs to </w:t>
    </w:r>
    <w:r w:rsidR="00FC5576" w:rsidRPr="00866843">
      <w:rPr>
        <w:sz w:val="16"/>
        <w:szCs w:val="16"/>
      </w:rPr>
      <w:t xml:space="preserve">Australia                                                                                                                                                     1 </w:t>
    </w:r>
    <w:r w:rsidR="0064601A" w:rsidRPr="00866843">
      <w:rPr>
        <w:sz w:val="16"/>
        <w:szCs w:val="16"/>
      </w:rPr>
      <w:t>July</w:t>
    </w:r>
    <w:r w:rsidR="00FC5576" w:rsidRPr="00866843">
      <w:rPr>
        <w:sz w:val="16"/>
        <w:szCs w:val="16"/>
      </w:rPr>
      <w:t xml:space="preserve"> 20</w:t>
    </w:r>
    <w:r w:rsidRPr="00866843">
      <w:rPr>
        <w:sz w:val="16"/>
        <w:szCs w:val="16"/>
      </w:rPr>
      <w:t>2</w:t>
    </w:r>
    <w:r w:rsidR="0064601A" w:rsidRPr="00866843">
      <w:rPr>
        <w:sz w:val="16"/>
        <w:szCs w:val="16"/>
      </w:rPr>
      <w:t>3</w:t>
    </w:r>
  </w:p>
  <w:p w14:paraId="3CC6778C" w14:textId="236F5B64" w:rsidR="00BE1937" w:rsidRPr="00BE1937" w:rsidRDefault="00DE7F05" w:rsidP="00BE1937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Imidocarb Dipropionate (</w:t>
    </w:r>
    <w:proofErr w:type="spellStart"/>
    <w:r>
      <w:rPr>
        <w:sz w:val="16"/>
        <w:szCs w:val="16"/>
      </w:rPr>
      <w:t>Imi</w:t>
    </w:r>
    <w:r w:rsidR="00BE1937">
      <w:rPr>
        <w:sz w:val="16"/>
        <w:szCs w:val="16"/>
      </w:rPr>
      <w:t>dox</w:t>
    </w:r>
    <w:proofErr w:type="spellEnd"/>
    <w:r w:rsidR="00BE1937">
      <w:rPr>
        <w:sz w:val="16"/>
        <w:szCs w:val="16"/>
      </w:rPr>
      <w:t>) Ordering</w:t>
    </w:r>
    <w:r w:rsidR="00CE54D7">
      <w:rPr>
        <w:sz w:val="16"/>
        <w:szCs w:val="16"/>
      </w:rPr>
      <w:t xml:space="preserve">    </w:t>
    </w:r>
    <w:r w:rsidR="00CE54D7">
      <w:rPr>
        <w:sz w:val="16"/>
        <w:szCs w:val="16"/>
      </w:rPr>
      <w:tab/>
    </w:r>
    <w:r w:rsidR="00CE54D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C495" w14:textId="77777777" w:rsidR="0064601A" w:rsidRDefault="00646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4A93B" w14:textId="77777777" w:rsidR="00DD2238" w:rsidRDefault="00DD2238" w:rsidP="00BE1937">
      <w:pPr>
        <w:spacing w:before="0"/>
      </w:pPr>
      <w:r>
        <w:separator/>
      </w:r>
    </w:p>
  </w:footnote>
  <w:footnote w:type="continuationSeparator" w:id="0">
    <w:p w14:paraId="5EDC7275" w14:textId="77777777" w:rsidR="00DD2238" w:rsidRDefault="00DD2238" w:rsidP="00BE1937">
      <w:pPr>
        <w:spacing w:before="0"/>
      </w:pPr>
      <w:r>
        <w:continuationSeparator/>
      </w:r>
    </w:p>
  </w:footnote>
  <w:footnote w:type="continuationNotice" w:id="1">
    <w:p w14:paraId="6716AF6D" w14:textId="77777777" w:rsidR="005E2BDE" w:rsidRDefault="005E2BD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F506" w14:textId="77777777" w:rsidR="0064601A" w:rsidRDefault="00646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9EE9" w14:textId="77777777" w:rsidR="0064601A" w:rsidRDefault="00646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2184" w14:textId="77777777" w:rsidR="0064601A" w:rsidRDefault="00646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0003"/>
    <w:multiLevelType w:val="multilevel"/>
    <w:tmpl w:val="52306004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37"/>
    <w:rsid w:val="003506B1"/>
    <w:rsid w:val="004B4901"/>
    <w:rsid w:val="00586A29"/>
    <w:rsid w:val="005E2BDE"/>
    <w:rsid w:val="00612811"/>
    <w:rsid w:val="0064601A"/>
    <w:rsid w:val="006F727B"/>
    <w:rsid w:val="00866843"/>
    <w:rsid w:val="0090209B"/>
    <w:rsid w:val="00AA6E12"/>
    <w:rsid w:val="00BE1937"/>
    <w:rsid w:val="00C1099A"/>
    <w:rsid w:val="00CE54D7"/>
    <w:rsid w:val="00DD2238"/>
    <w:rsid w:val="00DE7F05"/>
    <w:rsid w:val="00E1627A"/>
    <w:rsid w:val="00EC1E64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774B"/>
  <w15:chartTrackingRefBased/>
  <w15:docId w15:val="{65C3D1DB-3AF1-466E-9AD2-38391E8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37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E1937"/>
    <w:pPr>
      <w:spacing w:before="0"/>
    </w:pPr>
    <w:rPr>
      <w:lang w:eastAsia="en-US"/>
    </w:rPr>
  </w:style>
  <w:style w:type="character" w:styleId="Hyperlink">
    <w:name w:val="Hyperlink"/>
    <w:basedOn w:val="DefaultParagraphFont"/>
    <w:uiPriority w:val="99"/>
    <w:rsid w:val="00BE1937"/>
    <w:rPr>
      <w:rFonts w:ascii="Arial Narrow" w:hAnsi="Arial Narrow" w:cs="Times New Roman"/>
      <w:color w:val="44546A" w:themeColor="text2"/>
      <w:u w:val="single"/>
    </w:rPr>
  </w:style>
  <w:style w:type="paragraph" w:customStyle="1" w:styleId="Heading1a">
    <w:name w:val="Heading 1a"/>
    <w:basedOn w:val="Normal"/>
    <w:next w:val="Normal"/>
    <w:qFormat/>
    <w:rsid w:val="00BE1937"/>
    <w:pPr>
      <w:keepNext/>
      <w:keepLines/>
      <w:pageBreakBefore/>
      <w:spacing w:after="240" w:line="360" w:lineRule="atLeast"/>
      <w:outlineLvl w:val="0"/>
    </w:pPr>
    <w:rPr>
      <w:b/>
      <w:color w:val="000000" w:themeColor="text1"/>
      <w:sz w:val="36"/>
    </w:rPr>
  </w:style>
  <w:style w:type="paragraph" w:customStyle="1" w:styleId="ClauseL1">
    <w:name w:val="Clause L1"/>
    <w:basedOn w:val="Normal"/>
    <w:uiPriority w:val="3"/>
    <w:qFormat/>
    <w:rsid w:val="00BE1937"/>
    <w:pPr>
      <w:numPr>
        <w:numId w:val="1"/>
      </w:numPr>
      <w:tabs>
        <w:tab w:val="clear" w:pos="567"/>
        <w:tab w:val="clear" w:pos="1021"/>
        <w:tab w:val="clear" w:pos="1531"/>
      </w:tabs>
      <w:spacing w:before="120"/>
    </w:pPr>
  </w:style>
  <w:style w:type="paragraph" w:customStyle="1" w:styleId="ClauseL2">
    <w:name w:val="Clause L2"/>
    <w:basedOn w:val="ClauseL1"/>
    <w:uiPriority w:val="3"/>
    <w:qFormat/>
    <w:rsid w:val="00BE1937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BE1937"/>
    <w:pPr>
      <w:numPr>
        <w:ilvl w:val="2"/>
      </w:numPr>
    </w:pPr>
  </w:style>
  <w:style w:type="paragraph" w:customStyle="1" w:styleId="Heading2a">
    <w:name w:val="Heading 2a"/>
    <w:basedOn w:val="Normal"/>
    <w:next w:val="Normal"/>
    <w:qFormat/>
    <w:rsid w:val="00BE1937"/>
    <w:pPr>
      <w:spacing w:after="120"/>
      <w:outlineLvl w:val="1"/>
    </w:pPr>
    <w:rPr>
      <w:b/>
      <w:color w:val="000000" w:themeColor="text1"/>
      <w:sz w:val="32"/>
    </w:rPr>
  </w:style>
  <w:style w:type="numbering" w:customStyle="1" w:styleId="Clause">
    <w:name w:val="Clause"/>
    <w:basedOn w:val="NoList"/>
    <w:uiPriority w:val="99"/>
    <w:rsid w:val="00BE1937"/>
    <w:pPr>
      <w:numPr>
        <w:numId w:val="1"/>
      </w:numPr>
    </w:pPr>
  </w:style>
  <w:style w:type="paragraph" w:customStyle="1" w:styleId="ClauseL4">
    <w:name w:val="Clause L4"/>
    <w:basedOn w:val="ClauseL3"/>
    <w:qFormat/>
    <w:rsid w:val="00BE1937"/>
    <w:pPr>
      <w:numPr>
        <w:ilvl w:val="3"/>
      </w:numPr>
    </w:pPr>
  </w:style>
  <w:style w:type="paragraph" w:customStyle="1" w:styleId="Notesindent">
    <w:name w:val="Notes indent"/>
    <w:basedOn w:val="Normal"/>
    <w:uiPriority w:val="7"/>
    <w:qFormat/>
    <w:rsid w:val="00BE1937"/>
    <w:pPr>
      <w:tabs>
        <w:tab w:val="clear" w:pos="567"/>
        <w:tab w:val="clear" w:pos="1021"/>
        <w:tab w:val="clear" w:pos="1531"/>
      </w:tabs>
      <w:spacing w:before="60"/>
      <w:ind w:left="567"/>
    </w:pPr>
    <w:rPr>
      <w:sz w:val="20"/>
    </w:rPr>
  </w:style>
  <w:style w:type="table" w:styleId="TableGrid">
    <w:name w:val="Table Grid"/>
    <w:aliases w:val="MPI Guidance Table 1"/>
    <w:basedOn w:val="TableNormal"/>
    <w:rsid w:val="00BE1937"/>
    <w:pPr>
      <w:spacing w:after="0" w:line="240" w:lineRule="auto"/>
    </w:pPr>
    <w:rPr>
      <w:rFonts w:eastAsia="Times New Roman" w:cs="Times New Roman"/>
      <w:lang w:eastAsia="en-NZ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1937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E1937"/>
    <w:rPr>
      <w:rFonts w:ascii="Arial Narrow" w:eastAsia="Times New Roman" w:hAnsi="Arial Narrow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E1937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E1937"/>
    <w:rPr>
      <w:rFonts w:ascii="Arial Narrow" w:eastAsia="Times New Roman" w:hAnsi="Arial Narrow" w:cs="Times New Roman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E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DE"/>
    <w:rPr>
      <w:rFonts w:ascii="Arial Narrow" w:eastAsia="Times New Roman" w:hAnsi="Arial Narrow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BDE"/>
    <w:rPr>
      <w:rFonts w:ascii="Arial Narrow" w:eastAsia="Times New Roman" w:hAnsi="Arial Narrow" w:cs="Times New Roman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xports@asurequalit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ote Notebook" ma:contentTypeID="0x010100FB8876B5A6C7A44DB4E8FCCA1C79859700C7B860729134664CA603216B8AC5804C" ma:contentTypeVersion="1" ma:contentTypeDescription="" ma:contentTypeScope="" ma:versionID="48dae45168922dd5e37f560ed75f4b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75173-ADD6-49D5-AC32-C6D9CBC06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41E49-F1E3-4A2E-BBD8-41E3318B6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7494A-9F19-4827-9F3E-661AE0F2ECD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Long</dc:creator>
  <cp:keywords/>
  <dc:description/>
  <cp:lastModifiedBy>Roos Van Gorp</cp:lastModifiedBy>
  <cp:revision>13</cp:revision>
  <dcterms:created xsi:type="dcterms:W3CDTF">2019-05-14T01:16:00Z</dcterms:created>
  <dcterms:modified xsi:type="dcterms:W3CDTF">2023-05-31T04:14:00Z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0x010100FB8876B5A6C7A44DB4E8FCCA1C79859700C7B860729134664CA603216B8AC5804C</vt:lpwstr>
  </property>
  <property fmtid="{D5CDD505-2E9C-101B-9397-08002B2CF9AE}" pid="3" name="ne28c85b9c3347d698d089d64caa9d79">
    <vt:lpwstr>None|cf402fa0-b6a8-49a7-a22e-a95b6152c608</vt:lpwstr>
  </property>
  <property fmtid="{D5CDD505-2E9C-101B-9397-08002B2CF9AE}" pid="4" name="TaxCatchAll">
    <vt:lpwstr>1;#None|cf402fa0-b6a8-49a7-a22e-a95b6152c608</vt:lpwstr>
  </property>
  <property fmtid="{D5CDD505-2E9C-101B-9397-08002B2CF9AE}" pid="5" name="TaxKeyword">
    <vt:lpwstr/>
  </property>
  <property fmtid="{D5CDD505-2E9C-101B-9397-08002B2CF9AE}" pid="6" name="MPISecurityClassification">
    <vt:lpwstr>1;#None|cf402fa0-b6a8-49a7-a22e-a95b6152c608</vt:lpwstr>
  </property>
  <property fmtid="{D5CDD505-2E9C-101B-9397-08002B2CF9AE}" pid="7" name="TaxKeywordTaxHTField">
    <vt:lpwstr/>
  </property>
</Properties>
</file>