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D1" w:rsidRDefault="009F47D1" w:rsidP="009F47D1">
      <w:pPr>
        <w:pStyle w:val="Heading2"/>
        <w:rPr>
          <w:sz w:val="28"/>
        </w:rPr>
      </w:pPr>
      <w:r>
        <w:rPr>
          <w:noProof/>
          <w:sz w:val="28"/>
          <w:lang w:val="en-NZ" w:eastAsia="en-NZ"/>
        </w:rPr>
        <w:drawing>
          <wp:anchor distT="0" distB="0" distL="114300" distR="114300" simplePos="0" relativeHeight="251659264" behindDoc="0" locked="0" layoutInCell="1" allowOverlap="1">
            <wp:simplePos x="0" y="0"/>
            <wp:positionH relativeFrom="column">
              <wp:posOffset>3833495</wp:posOffset>
            </wp:positionH>
            <wp:positionV relativeFrom="paragraph">
              <wp:posOffset>-15240</wp:posOffset>
            </wp:positionV>
            <wp:extent cx="2362200" cy="542925"/>
            <wp:effectExtent l="19050" t="0" r="0" b="0"/>
            <wp:wrapNone/>
            <wp:docPr id="1" name="Picture 2"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logo-colour"/>
                    <pic:cNvPicPr>
                      <a:picLocks noChangeAspect="1" noChangeArrowheads="1"/>
                    </pic:cNvPicPr>
                  </pic:nvPicPr>
                  <pic:blipFill>
                    <a:blip r:embed="rId7" cstate="print">
                      <a:clrChange>
                        <a:clrFrom>
                          <a:srgbClr val="FDFDFD"/>
                        </a:clrFrom>
                        <a:clrTo>
                          <a:srgbClr val="FDFDFD">
                            <a:alpha val="0"/>
                          </a:srgbClr>
                        </a:clrTo>
                      </a:clrChange>
                    </a:blip>
                    <a:srcRect/>
                    <a:stretch>
                      <a:fillRect/>
                    </a:stretch>
                  </pic:blipFill>
                  <pic:spPr bwMode="auto">
                    <a:xfrm>
                      <a:off x="0" y="0"/>
                      <a:ext cx="2362200" cy="542925"/>
                    </a:xfrm>
                    <a:prstGeom prst="rect">
                      <a:avLst/>
                    </a:prstGeom>
                    <a:noFill/>
                    <a:ln w="9525">
                      <a:noFill/>
                      <a:miter lim="800000"/>
                      <a:headEnd/>
                      <a:tailEnd/>
                    </a:ln>
                  </pic:spPr>
                </pic:pic>
              </a:graphicData>
            </a:graphic>
          </wp:anchor>
        </w:drawing>
      </w:r>
    </w:p>
    <w:p w:rsidR="009F47D1" w:rsidRPr="009F47D1" w:rsidRDefault="009F47D1" w:rsidP="009F47D1">
      <w:pPr>
        <w:pStyle w:val="Heading2"/>
        <w:rPr>
          <w:sz w:val="28"/>
        </w:rPr>
      </w:pPr>
      <w:r w:rsidRPr="009F47D1">
        <w:rPr>
          <w:sz w:val="28"/>
        </w:rPr>
        <w:t>Voluntary Bonding Scheme for Veterinarians</w:t>
      </w:r>
    </w:p>
    <w:p w:rsidR="009F47D1" w:rsidRPr="00815848" w:rsidRDefault="009F47D1" w:rsidP="009F47D1">
      <w:pPr>
        <w:rPr>
          <w:lang w:val="en-GB" w:eastAsia="en-GB"/>
        </w:rPr>
      </w:pPr>
    </w:p>
    <w:p w:rsidR="009F47D1" w:rsidRPr="00815848" w:rsidRDefault="009F47D1" w:rsidP="009F47D1">
      <w:pPr>
        <w:pStyle w:val="Heading1"/>
      </w:pPr>
      <w:r w:rsidRPr="00815848">
        <w:t>Terms and Conditions</w:t>
      </w:r>
    </w:p>
    <w:p w:rsidR="009F47D1" w:rsidRPr="000A58D0" w:rsidRDefault="009F47D1" w:rsidP="009F47D1">
      <w:pPr>
        <w:rPr>
          <w:rFonts w:ascii="Arial" w:hAnsi="Arial" w:cs="Arial"/>
          <w:sz w:val="22"/>
          <w:szCs w:val="22"/>
        </w:rPr>
      </w:pPr>
    </w:p>
    <w:p w:rsidR="009F47D1" w:rsidRDefault="009F47D1" w:rsidP="009F47D1">
      <w:pPr>
        <w:rPr>
          <w:rFonts w:ascii="Arial" w:hAnsi="Arial" w:cs="Arial"/>
          <w:sz w:val="22"/>
          <w:szCs w:val="22"/>
        </w:rPr>
      </w:pPr>
      <w:r w:rsidRPr="000A58D0">
        <w:rPr>
          <w:rFonts w:ascii="Arial" w:hAnsi="Arial" w:cs="Arial"/>
          <w:sz w:val="22"/>
          <w:szCs w:val="22"/>
        </w:rPr>
        <w:t>This document contains the Terms and Conditions on the Voluntary B</w:t>
      </w:r>
      <w:r w:rsidR="006D4D0E">
        <w:rPr>
          <w:rFonts w:ascii="Arial" w:hAnsi="Arial" w:cs="Arial"/>
          <w:sz w:val="22"/>
          <w:szCs w:val="22"/>
        </w:rPr>
        <w:t>onding Scheme for Veterinarians</w:t>
      </w:r>
      <w:r w:rsidR="00EC745C">
        <w:rPr>
          <w:rFonts w:ascii="Arial" w:hAnsi="Arial" w:cs="Arial"/>
          <w:sz w:val="22"/>
          <w:szCs w:val="22"/>
        </w:rPr>
        <w:t xml:space="preserve"> the 201</w:t>
      </w:r>
      <w:r w:rsidR="005249B4">
        <w:rPr>
          <w:rFonts w:ascii="Arial" w:hAnsi="Arial" w:cs="Arial"/>
          <w:sz w:val="22"/>
          <w:szCs w:val="22"/>
        </w:rPr>
        <w:t>5</w:t>
      </w:r>
      <w:r w:rsidR="00EC745C">
        <w:rPr>
          <w:rFonts w:ascii="Arial" w:hAnsi="Arial" w:cs="Arial"/>
          <w:sz w:val="22"/>
          <w:szCs w:val="22"/>
        </w:rPr>
        <w:t xml:space="preserve"> funding round</w:t>
      </w:r>
      <w:r w:rsidR="006D4D0E">
        <w:rPr>
          <w:rFonts w:ascii="Arial" w:hAnsi="Arial" w:cs="Arial"/>
          <w:sz w:val="22"/>
          <w:szCs w:val="22"/>
        </w:rPr>
        <w:t xml:space="preserve">. </w:t>
      </w:r>
    </w:p>
    <w:p w:rsidR="009F47D1" w:rsidRPr="000A58D0" w:rsidRDefault="009F47D1" w:rsidP="009F47D1">
      <w:pPr>
        <w:tabs>
          <w:tab w:val="left" w:pos="480"/>
          <w:tab w:val="right" w:pos="8656"/>
        </w:tabs>
        <w:rPr>
          <w:rFonts w:ascii="Arial" w:hAnsi="Arial" w:cs="Arial"/>
          <w:sz w:val="22"/>
          <w:szCs w:val="22"/>
        </w:rPr>
      </w:pPr>
    </w:p>
    <w:p w:rsidR="009F47D1" w:rsidRDefault="009F47D1" w:rsidP="00C17FA3">
      <w:pPr>
        <w:pStyle w:val="Heading1"/>
        <w:numPr>
          <w:ilvl w:val="0"/>
          <w:numId w:val="1"/>
        </w:numPr>
        <w:tabs>
          <w:tab w:val="clear" w:pos="360"/>
        </w:tabs>
        <w:ind w:left="709" w:hanging="709"/>
        <w:rPr>
          <w:sz w:val="24"/>
          <w:szCs w:val="24"/>
          <w:lang w:val="en-NZ"/>
        </w:rPr>
      </w:pPr>
      <w:r w:rsidRPr="00A76A6E">
        <w:rPr>
          <w:sz w:val="24"/>
          <w:szCs w:val="24"/>
          <w:lang w:val="en-NZ"/>
        </w:rPr>
        <w:t>Definition of terms</w:t>
      </w:r>
    </w:p>
    <w:p w:rsidR="009F47D1" w:rsidRPr="00A76A6E" w:rsidRDefault="009F47D1" w:rsidP="00C17FA3">
      <w:pPr>
        <w:ind w:left="709" w:hanging="709"/>
        <w:rPr>
          <w:lang w:eastAsia="en-GB"/>
        </w:rPr>
      </w:pPr>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Good employer practices</w:t>
      </w:r>
      <w:r w:rsidRPr="000A58D0">
        <w:rPr>
          <w:rFonts w:ascii="Arial" w:hAnsi="Arial" w:cs="Arial"/>
          <w:i/>
          <w:sz w:val="22"/>
          <w:szCs w:val="22"/>
        </w:rPr>
        <w:t xml:space="preserve"> </w:t>
      </w:r>
      <w:r w:rsidRPr="000A58D0">
        <w:rPr>
          <w:rFonts w:ascii="Arial" w:hAnsi="Arial" w:cs="Arial"/>
          <w:sz w:val="22"/>
          <w:szCs w:val="22"/>
        </w:rPr>
        <w:t>means that the Practice follows generally accepted guidelines for being a good employer, such as those published by the Department of Labour. This will include having a system in place whether formal or informal to ensure that there is support for the graduate in their transition from study to work.</w:t>
      </w:r>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Full-time</w:t>
      </w:r>
      <w:r w:rsidRPr="000A58D0">
        <w:rPr>
          <w:rFonts w:ascii="Arial" w:hAnsi="Arial" w:cs="Arial"/>
          <w:sz w:val="22"/>
          <w:szCs w:val="22"/>
        </w:rPr>
        <w:t xml:space="preserve"> means employment for at least 35 hours per week.</w:t>
      </w:r>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 xml:space="preserve">Graduate </w:t>
      </w:r>
      <w:r w:rsidRPr="000A58D0">
        <w:rPr>
          <w:rFonts w:ascii="Arial" w:hAnsi="Arial" w:cs="Arial"/>
          <w:sz w:val="22"/>
          <w:szCs w:val="22"/>
        </w:rPr>
        <w:t>means an Eligible Graduate</w:t>
      </w:r>
      <w:r w:rsidR="00EC745C">
        <w:rPr>
          <w:rFonts w:ascii="Arial" w:hAnsi="Arial" w:cs="Arial"/>
          <w:sz w:val="22"/>
          <w:szCs w:val="22"/>
        </w:rPr>
        <w:t xml:space="preserve"> as defined in clause 3.1</w:t>
      </w:r>
      <w:r w:rsidRPr="000A58D0">
        <w:rPr>
          <w:rFonts w:ascii="Arial" w:hAnsi="Arial" w:cs="Arial"/>
          <w:sz w:val="22"/>
          <w:szCs w:val="22"/>
        </w:rPr>
        <w:t>.</w:t>
      </w:r>
    </w:p>
    <w:p w:rsidR="009F47D1" w:rsidRDefault="00F777BF" w:rsidP="00C17FA3">
      <w:pPr>
        <w:numPr>
          <w:ilvl w:val="1"/>
          <w:numId w:val="1"/>
        </w:numPr>
        <w:tabs>
          <w:tab w:val="clear" w:pos="432"/>
        </w:tabs>
        <w:ind w:left="709" w:hanging="709"/>
        <w:rPr>
          <w:rFonts w:ascii="Arial" w:hAnsi="Arial" w:cs="Arial"/>
          <w:sz w:val="22"/>
          <w:szCs w:val="22"/>
        </w:rPr>
      </w:pPr>
      <w:r>
        <w:rPr>
          <w:rFonts w:ascii="Arial" w:hAnsi="Arial" w:cs="Arial"/>
          <w:i/>
          <w:sz w:val="22"/>
          <w:szCs w:val="22"/>
          <w:u w:val="single"/>
        </w:rPr>
        <w:t xml:space="preserve">Eligible </w:t>
      </w:r>
      <w:r w:rsidR="009F47D1" w:rsidRPr="008E4C05">
        <w:rPr>
          <w:rFonts w:ascii="Arial" w:hAnsi="Arial" w:cs="Arial"/>
          <w:i/>
          <w:sz w:val="22"/>
          <w:szCs w:val="22"/>
          <w:u w:val="single"/>
        </w:rPr>
        <w:t>Practice</w:t>
      </w:r>
      <w:r w:rsidR="009F47D1" w:rsidRPr="008E4C05">
        <w:rPr>
          <w:rFonts w:ascii="Arial" w:hAnsi="Arial" w:cs="Arial"/>
          <w:sz w:val="22"/>
          <w:szCs w:val="22"/>
          <w:u w:val="single"/>
        </w:rPr>
        <w:t xml:space="preserve"> </w:t>
      </w:r>
      <w:r w:rsidR="00EC745C" w:rsidRPr="000A58D0">
        <w:rPr>
          <w:rFonts w:ascii="Arial" w:hAnsi="Arial" w:cs="Arial"/>
          <w:sz w:val="22"/>
          <w:szCs w:val="22"/>
        </w:rPr>
        <w:t xml:space="preserve">means a </w:t>
      </w:r>
      <w:r w:rsidR="00EC745C">
        <w:rPr>
          <w:rFonts w:ascii="Arial" w:hAnsi="Arial" w:cs="Arial"/>
          <w:sz w:val="22"/>
          <w:szCs w:val="22"/>
        </w:rPr>
        <w:t>Practice as defined in clause 3.2</w:t>
      </w:r>
      <w:proofErr w:type="gramStart"/>
      <w:r w:rsidR="00EC745C" w:rsidRPr="000A58D0">
        <w:rPr>
          <w:rFonts w:ascii="Arial" w:hAnsi="Arial" w:cs="Arial"/>
          <w:sz w:val="22"/>
          <w:szCs w:val="22"/>
        </w:rPr>
        <w:t>.</w:t>
      </w:r>
      <w:r w:rsidR="009F47D1" w:rsidRPr="000A58D0">
        <w:rPr>
          <w:rFonts w:ascii="Arial" w:hAnsi="Arial" w:cs="Arial"/>
          <w:sz w:val="22"/>
          <w:szCs w:val="22"/>
        </w:rPr>
        <w:t>.</w:t>
      </w:r>
      <w:proofErr w:type="gramEnd"/>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Production Animal</w:t>
      </w:r>
      <w:r w:rsidRPr="000A58D0">
        <w:rPr>
          <w:rFonts w:ascii="Arial" w:hAnsi="Arial" w:cs="Arial"/>
          <w:i/>
          <w:sz w:val="22"/>
          <w:szCs w:val="22"/>
        </w:rPr>
        <w:t xml:space="preserve"> </w:t>
      </w:r>
      <w:r w:rsidRPr="000A58D0">
        <w:rPr>
          <w:rFonts w:ascii="Arial" w:hAnsi="Arial" w:cs="Arial"/>
          <w:sz w:val="22"/>
          <w:szCs w:val="22"/>
        </w:rPr>
        <w:t>means an animal that is farmed for food or fibre, including but not limited to, cattle, sheep, goats, poultry, deer and pigs, and excluding horses.</w:t>
      </w:r>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Overall Production Animal Focus</w:t>
      </w:r>
      <w:r w:rsidRPr="000A58D0">
        <w:rPr>
          <w:rFonts w:ascii="Arial" w:hAnsi="Arial" w:cs="Arial"/>
          <w:i/>
          <w:sz w:val="22"/>
          <w:szCs w:val="22"/>
        </w:rPr>
        <w:t xml:space="preserve"> </w:t>
      </w:r>
      <w:r w:rsidR="00EC745C">
        <w:rPr>
          <w:rFonts w:ascii="Arial" w:hAnsi="Arial" w:cs="Arial"/>
          <w:sz w:val="22"/>
          <w:szCs w:val="22"/>
        </w:rPr>
        <w:t>means that servicing production a</w:t>
      </w:r>
      <w:r w:rsidRPr="000A58D0">
        <w:rPr>
          <w:rFonts w:ascii="Arial" w:hAnsi="Arial" w:cs="Arial"/>
          <w:sz w:val="22"/>
          <w:szCs w:val="22"/>
        </w:rPr>
        <w:t xml:space="preserve">nimals is a core focus of the Practice either because it </w:t>
      </w:r>
      <w:r w:rsidR="00EC745C">
        <w:rPr>
          <w:rFonts w:ascii="Arial" w:hAnsi="Arial" w:cs="Arial"/>
          <w:sz w:val="22"/>
          <w:szCs w:val="22"/>
        </w:rPr>
        <w:t>is the only Practice servicing production a</w:t>
      </w:r>
      <w:r w:rsidRPr="000A58D0">
        <w:rPr>
          <w:rFonts w:ascii="Arial" w:hAnsi="Arial" w:cs="Arial"/>
          <w:sz w:val="22"/>
          <w:szCs w:val="22"/>
        </w:rPr>
        <w:t>nimals in the area or because more than 60 percent of the professional fees generated by the Practice are from serv</w:t>
      </w:r>
      <w:r w:rsidR="00EC745C">
        <w:rPr>
          <w:rFonts w:ascii="Arial" w:hAnsi="Arial" w:cs="Arial"/>
          <w:sz w:val="22"/>
          <w:szCs w:val="22"/>
        </w:rPr>
        <w:t>icing production a</w:t>
      </w:r>
      <w:r w:rsidRPr="000A58D0">
        <w:rPr>
          <w:rFonts w:ascii="Arial" w:hAnsi="Arial" w:cs="Arial"/>
          <w:sz w:val="22"/>
          <w:szCs w:val="22"/>
        </w:rPr>
        <w:t>nimals.</w:t>
      </w:r>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Predominately Focused on Production Animals</w:t>
      </w:r>
      <w:r w:rsidRPr="000A58D0">
        <w:rPr>
          <w:rFonts w:ascii="Arial" w:hAnsi="Arial" w:cs="Arial"/>
          <w:i/>
          <w:sz w:val="22"/>
          <w:szCs w:val="22"/>
        </w:rPr>
        <w:t xml:space="preserve"> </w:t>
      </w:r>
      <w:r w:rsidRPr="000A58D0">
        <w:rPr>
          <w:rFonts w:ascii="Arial" w:hAnsi="Arial" w:cs="Arial"/>
          <w:sz w:val="22"/>
          <w:szCs w:val="22"/>
        </w:rPr>
        <w:t>means that the gradua</w:t>
      </w:r>
      <w:r w:rsidR="00EC745C">
        <w:rPr>
          <w:rFonts w:ascii="Arial" w:hAnsi="Arial" w:cs="Arial"/>
          <w:sz w:val="22"/>
          <w:szCs w:val="22"/>
        </w:rPr>
        <w:t>te position is either purely a production a</w:t>
      </w:r>
      <w:r w:rsidRPr="000A58D0">
        <w:rPr>
          <w:rFonts w:ascii="Arial" w:hAnsi="Arial" w:cs="Arial"/>
          <w:sz w:val="22"/>
          <w:szCs w:val="22"/>
        </w:rPr>
        <w:t>nimal position, or a mixed position where over 60 percent of the work undertaken by t</w:t>
      </w:r>
      <w:r w:rsidR="00EC745C">
        <w:rPr>
          <w:rFonts w:ascii="Arial" w:hAnsi="Arial" w:cs="Arial"/>
          <w:sz w:val="22"/>
          <w:szCs w:val="22"/>
        </w:rPr>
        <w:t>he graduate will be related to p</w:t>
      </w:r>
      <w:r w:rsidRPr="000A58D0">
        <w:rPr>
          <w:rFonts w:ascii="Arial" w:hAnsi="Arial" w:cs="Arial"/>
          <w:sz w:val="22"/>
          <w:szCs w:val="22"/>
        </w:rPr>
        <w:t>roduc</w:t>
      </w:r>
      <w:r w:rsidR="00EC745C">
        <w:rPr>
          <w:rFonts w:ascii="Arial" w:hAnsi="Arial" w:cs="Arial"/>
          <w:sz w:val="22"/>
          <w:szCs w:val="22"/>
        </w:rPr>
        <w:t>tion a</w:t>
      </w:r>
      <w:r w:rsidRPr="000A58D0">
        <w:rPr>
          <w:rFonts w:ascii="Arial" w:hAnsi="Arial" w:cs="Arial"/>
          <w:sz w:val="22"/>
          <w:szCs w:val="22"/>
        </w:rPr>
        <w:t>nimal practice.</w:t>
      </w:r>
    </w:p>
    <w:p w:rsidR="009F47D1"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Veterinary science qualification</w:t>
      </w:r>
      <w:r w:rsidRPr="000A58D0">
        <w:rPr>
          <w:rFonts w:ascii="Arial" w:hAnsi="Arial" w:cs="Arial"/>
          <w:sz w:val="22"/>
          <w:szCs w:val="22"/>
        </w:rPr>
        <w:t xml:space="preserve"> means a Bachelor of Veterinary Science or any post-graduate qualification completed immediately after completing a Bachelor of Veterinary Science.</w:t>
      </w:r>
    </w:p>
    <w:p w:rsidR="009F47D1" w:rsidRPr="009D2A07" w:rsidRDefault="009F47D1" w:rsidP="00C17FA3">
      <w:pPr>
        <w:numPr>
          <w:ilvl w:val="1"/>
          <w:numId w:val="1"/>
        </w:numPr>
        <w:tabs>
          <w:tab w:val="clear" w:pos="432"/>
        </w:tabs>
        <w:ind w:left="709" w:hanging="709"/>
        <w:rPr>
          <w:rFonts w:ascii="Arial" w:hAnsi="Arial" w:cs="Arial"/>
          <w:sz w:val="22"/>
          <w:szCs w:val="22"/>
        </w:rPr>
      </w:pPr>
      <w:r w:rsidRPr="008E4C05">
        <w:rPr>
          <w:rFonts w:ascii="Arial" w:hAnsi="Arial" w:cs="Arial"/>
          <w:i/>
          <w:sz w:val="22"/>
          <w:szCs w:val="22"/>
          <w:u w:val="single"/>
        </w:rPr>
        <w:t>Week</w:t>
      </w:r>
      <w:r w:rsidRPr="000A58D0">
        <w:rPr>
          <w:rFonts w:ascii="Arial" w:hAnsi="Arial" w:cs="Arial"/>
          <w:i/>
          <w:sz w:val="22"/>
          <w:szCs w:val="22"/>
        </w:rPr>
        <w:t xml:space="preserve"> </w:t>
      </w:r>
      <w:r w:rsidRPr="009D2A07">
        <w:rPr>
          <w:rFonts w:ascii="Arial" w:hAnsi="Arial" w:cs="Arial"/>
          <w:sz w:val="22"/>
          <w:szCs w:val="22"/>
        </w:rPr>
        <w:t>means five Full-Time working days e.g. 14 weeks is 70 Full-Time working day</w:t>
      </w:r>
      <w:r w:rsidR="00EC745C">
        <w:rPr>
          <w:rFonts w:ascii="Arial" w:hAnsi="Arial" w:cs="Arial"/>
          <w:sz w:val="22"/>
          <w:szCs w:val="22"/>
        </w:rPr>
        <w:t>s</w:t>
      </w:r>
    </w:p>
    <w:p w:rsidR="009F47D1" w:rsidRPr="009D2A07" w:rsidRDefault="009F47D1" w:rsidP="00C17FA3">
      <w:pPr>
        <w:ind w:left="709" w:hanging="709"/>
        <w:rPr>
          <w:rFonts w:ascii="Arial" w:hAnsi="Arial" w:cs="Arial"/>
          <w:sz w:val="22"/>
          <w:szCs w:val="22"/>
        </w:rPr>
      </w:pPr>
    </w:p>
    <w:p w:rsidR="009F47D1" w:rsidRPr="009D2A07" w:rsidRDefault="009F47D1" w:rsidP="00C17FA3">
      <w:pPr>
        <w:pStyle w:val="Heading1"/>
        <w:numPr>
          <w:ilvl w:val="0"/>
          <w:numId w:val="2"/>
        </w:numPr>
        <w:tabs>
          <w:tab w:val="clear" w:pos="360"/>
        </w:tabs>
        <w:ind w:left="709" w:hanging="709"/>
        <w:rPr>
          <w:sz w:val="24"/>
          <w:szCs w:val="24"/>
          <w:lang w:val="en-NZ"/>
        </w:rPr>
      </w:pPr>
      <w:r w:rsidRPr="009D2A07">
        <w:rPr>
          <w:sz w:val="24"/>
          <w:szCs w:val="24"/>
          <w:lang w:val="en-NZ"/>
        </w:rPr>
        <w:t>Background</w:t>
      </w:r>
    </w:p>
    <w:p w:rsidR="009F47D1" w:rsidRPr="00A76A6E" w:rsidRDefault="009F47D1" w:rsidP="00C17FA3">
      <w:pPr>
        <w:ind w:left="709" w:hanging="709"/>
        <w:rPr>
          <w:lang w:eastAsia="en-GB"/>
        </w:rPr>
      </w:pPr>
    </w:p>
    <w:p w:rsidR="009F47D1" w:rsidRDefault="009F47D1" w:rsidP="00C17FA3">
      <w:pPr>
        <w:numPr>
          <w:ilvl w:val="1"/>
          <w:numId w:val="2"/>
        </w:numPr>
        <w:tabs>
          <w:tab w:val="clear" w:pos="792"/>
        </w:tabs>
        <w:ind w:left="709" w:hanging="709"/>
        <w:rPr>
          <w:rFonts w:ascii="Arial" w:hAnsi="Arial" w:cs="Arial"/>
          <w:sz w:val="22"/>
          <w:szCs w:val="22"/>
        </w:rPr>
      </w:pPr>
      <w:r w:rsidRPr="000A58D0">
        <w:rPr>
          <w:rFonts w:ascii="Arial" w:hAnsi="Arial" w:cs="Arial"/>
          <w:sz w:val="22"/>
          <w:szCs w:val="22"/>
        </w:rPr>
        <w:t xml:space="preserve">The aim of the Voluntary Bonding Scheme for Veterinarians (the Scheme) is to support the retention of veterinarians to respond to livestock-based industry needs, and to assist New Zealand to maintain world-class standards in </w:t>
      </w:r>
      <w:proofErr w:type="spellStart"/>
      <w:r>
        <w:rPr>
          <w:rFonts w:ascii="Arial" w:hAnsi="Arial" w:cs="Arial"/>
          <w:sz w:val="22"/>
          <w:szCs w:val="22"/>
        </w:rPr>
        <w:t>bio</w:t>
      </w:r>
      <w:r w:rsidRPr="000A58D0">
        <w:rPr>
          <w:rFonts w:ascii="Arial" w:hAnsi="Arial" w:cs="Arial"/>
          <w:sz w:val="22"/>
          <w:szCs w:val="22"/>
        </w:rPr>
        <w:t>security</w:t>
      </w:r>
      <w:proofErr w:type="spellEnd"/>
      <w:r w:rsidRPr="000A58D0">
        <w:rPr>
          <w:rFonts w:ascii="Arial" w:hAnsi="Arial" w:cs="Arial"/>
          <w:sz w:val="22"/>
          <w:szCs w:val="22"/>
        </w:rPr>
        <w:t>, animal welfare and food safety.</w:t>
      </w:r>
    </w:p>
    <w:p w:rsidR="009F47D1" w:rsidRPr="000A58D0" w:rsidRDefault="009F47D1" w:rsidP="00C17FA3">
      <w:pPr>
        <w:numPr>
          <w:ilvl w:val="1"/>
          <w:numId w:val="2"/>
        </w:numPr>
        <w:tabs>
          <w:tab w:val="clear" w:pos="792"/>
        </w:tabs>
        <w:ind w:left="709" w:hanging="709"/>
        <w:rPr>
          <w:rFonts w:ascii="Arial" w:hAnsi="Arial" w:cs="Arial"/>
          <w:sz w:val="22"/>
          <w:szCs w:val="22"/>
        </w:rPr>
      </w:pPr>
      <w:r w:rsidRPr="000A58D0">
        <w:rPr>
          <w:rFonts w:ascii="Arial" w:hAnsi="Arial" w:cs="Arial"/>
          <w:sz w:val="22"/>
          <w:szCs w:val="22"/>
        </w:rPr>
        <w:t>The Scheme also aims to make a significant contribution to repayment of student loans for those Graduates who have them, but will be available to those without loans or those who have already paid off their loan.</w:t>
      </w:r>
    </w:p>
    <w:p w:rsidR="009F47D1" w:rsidRPr="000A58D0" w:rsidRDefault="009F47D1" w:rsidP="00C17FA3">
      <w:pPr>
        <w:ind w:left="709" w:hanging="709"/>
        <w:rPr>
          <w:rFonts w:ascii="Arial" w:hAnsi="Arial" w:cs="Arial"/>
          <w:sz w:val="22"/>
          <w:szCs w:val="22"/>
        </w:rPr>
      </w:pPr>
    </w:p>
    <w:p w:rsidR="009F47D1" w:rsidRDefault="009F47D1" w:rsidP="00C17FA3">
      <w:pPr>
        <w:pStyle w:val="Heading1"/>
        <w:numPr>
          <w:ilvl w:val="0"/>
          <w:numId w:val="2"/>
        </w:numPr>
        <w:tabs>
          <w:tab w:val="clear" w:pos="360"/>
        </w:tabs>
        <w:ind w:left="709" w:hanging="709"/>
        <w:rPr>
          <w:sz w:val="24"/>
          <w:szCs w:val="24"/>
          <w:lang w:val="en-NZ"/>
        </w:rPr>
      </w:pPr>
      <w:r w:rsidRPr="00A76A6E">
        <w:rPr>
          <w:sz w:val="24"/>
          <w:szCs w:val="24"/>
          <w:lang w:val="en-NZ"/>
        </w:rPr>
        <w:t>Eligibility Criteria</w:t>
      </w:r>
    </w:p>
    <w:p w:rsidR="009F47D1" w:rsidRPr="00A76A6E" w:rsidRDefault="009F47D1" w:rsidP="00C17FA3">
      <w:pPr>
        <w:ind w:left="709" w:hanging="709"/>
        <w:rPr>
          <w:lang w:eastAsia="en-GB"/>
        </w:rPr>
      </w:pPr>
    </w:p>
    <w:p w:rsidR="009F47D1" w:rsidRDefault="009F47D1" w:rsidP="00C17FA3">
      <w:pPr>
        <w:ind w:left="709"/>
        <w:rPr>
          <w:rFonts w:ascii="Arial" w:hAnsi="Arial" w:cs="Arial"/>
          <w:sz w:val="22"/>
          <w:szCs w:val="22"/>
        </w:rPr>
      </w:pPr>
      <w:r w:rsidRPr="009C4808">
        <w:rPr>
          <w:rFonts w:ascii="Arial" w:hAnsi="Arial" w:cs="Arial"/>
          <w:sz w:val="22"/>
          <w:szCs w:val="22"/>
        </w:rPr>
        <w:t>The Scheme is available to persons who, in the opinion of the Ministry for Primary Industries</w:t>
      </w:r>
      <w:r w:rsidR="00EC745C">
        <w:rPr>
          <w:rFonts w:ascii="Arial" w:hAnsi="Arial" w:cs="Arial"/>
          <w:sz w:val="22"/>
          <w:szCs w:val="22"/>
        </w:rPr>
        <w:t xml:space="preserve"> (MPI)</w:t>
      </w:r>
      <w:r w:rsidRPr="009C4808">
        <w:rPr>
          <w:rFonts w:ascii="Arial" w:hAnsi="Arial" w:cs="Arial"/>
          <w:sz w:val="22"/>
          <w:szCs w:val="22"/>
        </w:rPr>
        <w:t>, meet all eligible criteria outlined in clauses 3.1 and 3.2.</w:t>
      </w:r>
    </w:p>
    <w:p w:rsidR="00E25F98" w:rsidRPr="00E25F98" w:rsidRDefault="00E25F98" w:rsidP="00C17FA3">
      <w:pPr>
        <w:tabs>
          <w:tab w:val="num" w:pos="1855"/>
        </w:tabs>
        <w:ind w:left="709" w:hanging="709"/>
        <w:rPr>
          <w:rFonts w:ascii="Arial" w:hAnsi="Arial" w:cs="Arial"/>
          <w:b/>
          <w:sz w:val="22"/>
          <w:szCs w:val="22"/>
        </w:rPr>
      </w:pPr>
    </w:p>
    <w:p w:rsidR="009F47D1" w:rsidRDefault="00EC745C" w:rsidP="00C17FA3">
      <w:pPr>
        <w:numPr>
          <w:ilvl w:val="1"/>
          <w:numId w:val="2"/>
        </w:numPr>
        <w:tabs>
          <w:tab w:val="clear" w:pos="792"/>
        </w:tabs>
        <w:ind w:left="709" w:hanging="709"/>
        <w:rPr>
          <w:rFonts w:ascii="Arial" w:hAnsi="Arial" w:cs="Arial"/>
          <w:b/>
          <w:sz w:val="22"/>
          <w:szCs w:val="22"/>
        </w:rPr>
      </w:pPr>
      <w:r>
        <w:rPr>
          <w:rFonts w:ascii="Arial" w:hAnsi="Arial" w:cs="Arial"/>
          <w:b/>
          <w:bCs/>
          <w:sz w:val="22"/>
          <w:szCs w:val="22"/>
        </w:rPr>
        <w:t>Eligible Graduate</w:t>
      </w:r>
    </w:p>
    <w:p w:rsidR="009F47D1" w:rsidRPr="00EB5696" w:rsidRDefault="009F47D1" w:rsidP="00C17FA3">
      <w:pPr>
        <w:numPr>
          <w:ilvl w:val="2"/>
          <w:numId w:val="2"/>
        </w:numPr>
        <w:tabs>
          <w:tab w:val="clear" w:pos="1855"/>
        </w:tabs>
        <w:ind w:left="1418" w:hanging="709"/>
        <w:rPr>
          <w:rFonts w:ascii="Arial" w:hAnsi="Arial" w:cs="Arial"/>
          <w:b/>
          <w:sz w:val="22"/>
          <w:szCs w:val="22"/>
        </w:rPr>
      </w:pPr>
      <w:r w:rsidRPr="009C4808">
        <w:rPr>
          <w:rFonts w:ascii="Arial" w:hAnsi="Arial" w:cs="Arial"/>
          <w:sz w:val="22"/>
          <w:szCs w:val="22"/>
        </w:rPr>
        <w:t>An Eligible Graduate is a person who:</w:t>
      </w:r>
    </w:p>
    <w:p w:rsidR="009F47D1" w:rsidRDefault="009F47D1" w:rsidP="00C17FA3">
      <w:pPr>
        <w:numPr>
          <w:ilvl w:val="0"/>
          <w:numId w:val="3"/>
        </w:numPr>
        <w:tabs>
          <w:tab w:val="clear" w:pos="1440"/>
        </w:tabs>
        <w:ind w:left="1701" w:hanging="283"/>
        <w:rPr>
          <w:rFonts w:ascii="Arial" w:hAnsi="Arial" w:cs="Arial"/>
          <w:sz w:val="22"/>
          <w:szCs w:val="22"/>
        </w:rPr>
      </w:pPr>
      <w:r w:rsidRPr="009C4808">
        <w:rPr>
          <w:rFonts w:ascii="Arial" w:hAnsi="Arial" w:cs="Arial"/>
          <w:sz w:val="22"/>
          <w:szCs w:val="22"/>
        </w:rPr>
        <w:t xml:space="preserve">is a </w:t>
      </w:r>
      <w:smartTag w:uri="urn:schemas-microsoft-com:office:smarttags" w:element="country-region">
        <w:smartTag w:uri="urn:schemas-microsoft-com:office:smarttags" w:element="place">
          <w:r w:rsidRPr="009C4808">
            <w:rPr>
              <w:rFonts w:ascii="Arial" w:hAnsi="Arial" w:cs="Arial"/>
              <w:sz w:val="22"/>
              <w:szCs w:val="22"/>
            </w:rPr>
            <w:t>New Zealand</w:t>
          </w:r>
        </w:smartTag>
      </w:smartTag>
      <w:r w:rsidRPr="009C4808">
        <w:rPr>
          <w:rFonts w:ascii="Arial" w:hAnsi="Arial" w:cs="Arial"/>
          <w:sz w:val="22"/>
          <w:szCs w:val="22"/>
        </w:rPr>
        <w:t xml:space="preserve"> citizen or permanent</w:t>
      </w:r>
      <w:r w:rsidRPr="000A58D0">
        <w:rPr>
          <w:rFonts w:ascii="Arial" w:hAnsi="Arial" w:cs="Arial"/>
          <w:sz w:val="22"/>
          <w:szCs w:val="22"/>
        </w:rPr>
        <w:t xml:space="preserve"> resident;</w:t>
      </w:r>
    </w:p>
    <w:p w:rsidR="009F47D1" w:rsidRDefault="009F47D1" w:rsidP="00C17FA3">
      <w:pPr>
        <w:numPr>
          <w:ilvl w:val="0"/>
          <w:numId w:val="3"/>
        </w:numPr>
        <w:tabs>
          <w:tab w:val="clear" w:pos="1440"/>
        </w:tabs>
        <w:ind w:left="1701" w:hanging="283"/>
        <w:rPr>
          <w:rFonts w:ascii="Arial" w:hAnsi="Arial" w:cs="Arial"/>
          <w:sz w:val="22"/>
          <w:szCs w:val="22"/>
        </w:rPr>
      </w:pPr>
      <w:r w:rsidRPr="000A58D0">
        <w:rPr>
          <w:rFonts w:ascii="Arial" w:hAnsi="Arial" w:cs="Arial"/>
          <w:sz w:val="22"/>
          <w:szCs w:val="22"/>
        </w:rPr>
        <w:t xml:space="preserve">has a Bachelor of Veterinary Science from </w:t>
      </w:r>
      <w:smartTag w:uri="urn:schemas-microsoft-com:office:smarttags" w:element="place">
        <w:smartTag w:uri="urn:schemas-microsoft-com:office:smarttags" w:element="PlaceName">
          <w:r w:rsidRPr="000A58D0">
            <w:rPr>
              <w:rFonts w:ascii="Arial" w:hAnsi="Arial" w:cs="Arial"/>
              <w:sz w:val="22"/>
              <w:szCs w:val="22"/>
            </w:rPr>
            <w:t>Massey</w:t>
          </w:r>
        </w:smartTag>
        <w:r w:rsidRPr="000A58D0">
          <w:rPr>
            <w:rFonts w:ascii="Arial" w:hAnsi="Arial" w:cs="Arial"/>
            <w:sz w:val="22"/>
            <w:szCs w:val="22"/>
          </w:rPr>
          <w:t xml:space="preserve"> </w:t>
        </w:r>
        <w:smartTag w:uri="urn:schemas-microsoft-com:office:smarttags" w:element="PlaceType">
          <w:r w:rsidRPr="000A58D0">
            <w:rPr>
              <w:rFonts w:ascii="Arial" w:hAnsi="Arial" w:cs="Arial"/>
              <w:sz w:val="22"/>
              <w:szCs w:val="22"/>
            </w:rPr>
            <w:t>University</w:t>
          </w:r>
        </w:smartTag>
      </w:smartTag>
      <w:r w:rsidRPr="000A58D0">
        <w:rPr>
          <w:rFonts w:ascii="Arial" w:hAnsi="Arial" w:cs="Arial"/>
          <w:sz w:val="22"/>
          <w:szCs w:val="22"/>
        </w:rPr>
        <w:t>;</w:t>
      </w:r>
    </w:p>
    <w:p w:rsidR="009F47D1" w:rsidRPr="009C4808" w:rsidRDefault="009F47D1" w:rsidP="00C17FA3">
      <w:pPr>
        <w:numPr>
          <w:ilvl w:val="0"/>
          <w:numId w:val="3"/>
        </w:numPr>
        <w:tabs>
          <w:tab w:val="clear" w:pos="1440"/>
        </w:tabs>
        <w:ind w:left="1701" w:hanging="283"/>
        <w:rPr>
          <w:rFonts w:ascii="Arial" w:hAnsi="Arial" w:cs="Arial"/>
          <w:sz w:val="22"/>
          <w:szCs w:val="22"/>
        </w:rPr>
      </w:pPr>
      <w:r w:rsidRPr="000A58D0">
        <w:rPr>
          <w:rFonts w:ascii="Arial" w:hAnsi="Arial" w:cs="Arial"/>
          <w:sz w:val="22"/>
          <w:szCs w:val="22"/>
        </w:rPr>
        <w:t xml:space="preserve">is registered </w:t>
      </w:r>
      <w:r w:rsidR="00EC745C">
        <w:rPr>
          <w:rFonts w:ascii="Arial" w:hAnsi="Arial" w:cs="Arial"/>
          <w:sz w:val="22"/>
          <w:szCs w:val="22"/>
        </w:rPr>
        <w:t xml:space="preserve">by the Veterinary Council of New Zealand (VCNZ) </w:t>
      </w:r>
      <w:r w:rsidRPr="000A58D0">
        <w:rPr>
          <w:rFonts w:ascii="Arial" w:hAnsi="Arial" w:cs="Arial"/>
          <w:sz w:val="22"/>
          <w:szCs w:val="22"/>
        </w:rPr>
        <w:t xml:space="preserve">to practice as a veterinarian in New Zealand and holds a current </w:t>
      </w:r>
      <w:r w:rsidRPr="009C4808">
        <w:rPr>
          <w:rFonts w:ascii="Arial" w:hAnsi="Arial" w:cs="Arial"/>
          <w:sz w:val="22"/>
          <w:szCs w:val="22"/>
        </w:rPr>
        <w:t>practicing certificate</w:t>
      </w:r>
      <w:r w:rsidR="00EC745C">
        <w:rPr>
          <w:rFonts w:ascii="Arial" w:hAnsi="Arial" w:cs="Arial"/>
          <w:sz w:val="22"/>
          <w:szCs w:val="22"/>
        </w:rPr>
        <w:t xml:space="preserve"> issued by the VCNZ</w:t>
      </w:r>
      <w:r w:rsidRPr="009C4808">
        <w:rPr>
          <w:rFonts w:ascii="Arial" w:hAnsi="Arial" w:cs="Arial"/>
          <w:sz w:val="22"/>
          <w:szCs w:val="22"/>
        </w:rPr>
        <w:t>;</w:t>
      </w:r>
    </w:p>
    <w:p w:rsidR="009F47D1" w:rsidRPr="009C4808" w:rsidRDefault="009F47D1" w:rsidP="00C17FA3">
      <w:pPr>
        <w:numPr>
          <w:ilvl w:val="0"/>
          <w:numId w:val="3"/>
        </w:numPr>
        <w:tabs>
          <w:tab w:val="clear" w:pos="1440"/>
        </w:tabs>
        <w:ind w:left="1701" w:hanging="283"/>
        <w:rPr>
          <w:rFonts w:ascii="Arial" w:hAnsi="Arial" w:cs="Arial"/>
          <w:sz w:val="22"/>
          <w:szCs w:val="22"/>
        </w:rPr>
      </w:pPr>
      <w:r w:rsidRPr="009C4808">
        <w:rPr>
          <w:rFonts w:ascii="Arial" w:hAnsi="Arial" w:cs="Arial"/>
          <w:sz w:val="22"/>
          <w:szCs w:val="22"/>
        </w:rPr>
        <w:t xml:space="preserve">has </w:t>
      </w:r>
      <w:r w:rsidR="00EC745C">
        <w:rPr>
          <w:rFonts w:ascii="Arial" w:hAnsi="Arial" w:cs="Arial"/>
          <w:sz w:val="22"/>
          <w:szCs w:val="22"/>
        </w:rPr>
        <w:t>or will have bee</w:t>
      </w:r>
      <w:r w:rsidRPr="009C4808">
        <w:rPr>
          <w:rFonts w:ascii="Arial" w:hAnsi="Arial" w:cs="Arial"/>
          <w:sz w:val="22"/>
          <w:szCs w:val="22"/>
        </w:rPr>
        <w:t>n offered a permanent, Full-Time position:</w:t>
      </w:r>
    </w:p>
    <w:p w:rsidR="009F47D1" w:rsidRPr="009C4808" w:rsidRDefault="00F777BF" w:rsidP="00C17FA3">
      <w:pPr>
        <w:numPr>
          <w:ilvl w:val="0"/>
          <w:numId w:val="4"/>
        </w:numPr>
        <w:ind w:left="1701" w:hanging="283"/>
        <w:rPr>
          <w:rFonts w:ascii="Arial" w:hAnsi="Arial" w:cs="Arial"/>
          <w:sz w:val="22"/>
          <w:szCs w:val="22"/>
        </w:rPr>
      </w:pPr>
      <w:r>
        <w:rPr>
          <w:rFonts w:ascii="Arial" w:hAnsi="Arial" w:cs="Arial"/>
          <w:sz w:val="22"/>
          <w:szCs w:val="22"/>
        </w:rPr>
        <w:t>at</w:t>
      </w:r>
      <w:r w:rsidR="009F47D1" w:rsidRPr="009C4808">
        <w:rPr>
          <w:rFonts w:ascii="Arial" w:hAnsi="Arial" w:cs="Arial"/>
          <w:sz w:val="22"/>
          <w:szCs w:val="22"/>
        </w:rPr>
        <w:t xml:space="preserve"> an Eligible Practice; and</w:t>
      </w:r>
    </w:p>
    <w:p w:rsidR="009F47D1" w:rsidRPr="009C4808" w:rsidRDefault="009F47D1" w:rsidP="00C17FA3">
      <w:pPr>
        <w:numPr>
          <w:ilvl w:val="0"/>
          <w:numId w:val="5"/>
        </w:numPr>
        <w:tabs>
          <w:tab w:val="clear" w:pos="1451"/>
        </w:tabs>
        <w:ind w:left="1701" w:hanging="283"/>
        <w:rPr>
          <w:rFonts w:ascii="Arial" w:hAnsi="Arial" w:cs="Arial"/>
          <w:sz w:val="22"/>
          <w:szCs w:val="22"/>
        </w:rPr>
      </w:pPr>
      <w:r w:rsidRPr="009C4808">
        <w:rPr>
          <w:rFonts w:ascii="Arial" w:hAnsi="Arial" w:cs="Arial"/>
          <w:sz w:val="22"/>
          <w:szCs w:val="22"/>
        </w:rPr>
        <w:lastRenderedPageBreak/>
        <w:t>that is Predominately Focused on Production Animals;</w:t>
      </w:r>
    </w:p>
    <w:p w:rsidR="009F47D1" w:rsidRDefault="009F47D1" w:rsidP="00C17FA3">
      <w:pPr>
        <w:numPr>
          <w:ilvl w:val="0"/>
          <w:numId w:val="3"/>
        </w:numPr>
        <w:tabs>
          <w:tab w:val="clear" w:pos="1440"/>
        </w:tabs>
        <w:ind w:left="1701" w:hanging="283"/>
        <w:rPr>
          <w:rFonts w:ascii="Arial" w:hAnsi="Arial" w:cs="Arial"/>
          <w:sz w:val="22"/>
          <w:szCs w:val="22"/>
        </w:rPr>
      </w:pPr>
      <w:proofErr w:type="gramStart"/>
      <w:r w:rsidRPr="009C4808">
        <w:rPr>
          <w:rFonts w:ascii="Arial" w:hAnsi="Arial" w:cs="Arial"/>
          <w:sz w:val="22"/>
          <w:szCs w:val="22"/>
        </w:rPr>
        <w:t>applies</w:t>
      </w:r>
      <w:proofErr w:type="gramEnd"/>
      <w:r w:rsidRPr="009C4808">
        <w:rPr>
          <w:rFonts w:ascii="Arial" w:hAnsi="Arial" w:cs="Arial"/>
          <w:sz w:val="22"/>
          <w:szCs w:val="22"/>
        </w:rPr>
        <w:t xml:space="preserve"> for the Scheme within 12 months of completing their Veterinary Science Qualification.</w:t>
      </w:r>
    </w:p>
    <w:p w:rsidR="00BC7FDE" w:rsidRPr="009C4808" w:rsidRDefault="00BC7FDE" w:rsidP="00BC7FDE">
      <w:pPr>
        <w:ind w:left="1701"/>
        <w:rPr>
          <w:rFonts w:ascii="Arial" w:hAnsi="Arial" w:cs="Arial"/>
          <w:sz w:val="22"/>
          <w:szCs w:val="22"/>
        </w:rPr>
      </w:pPr>
    </w:p>
    <w:p w:rsidR="009F47D1" w:rsidRPr="009C4808" w:rsidRDefault="009F47D1" w:rsidP="00C17FA3">
      <w:pPr>
        <w:numPr>
          <w:ilvl w:val="1"/>
          <w:numId w:val="2"/>
        </w:numPr>
        <w:tabs>
          <w:tab w:val="clear" w:pos="792"/>
        </w:tabs>
        <w:ind w:left="709" w:hanging="709"/>
        <w:rPr>
          <w:rFonts w:ascii="Arial" w:hAnsi="Arial" w:cs="Arial"/>
          <w:b/>
          <w:sz w:val="22"/>
          <w:szCs w:val="22"/>
        </w:rPr>
      </w:pPr>
      <w:r w:rsidRPr="009C4808">
        <w:rPr>
          <w:rFonts w:ascii="Arial" w:hAnsi="Arial" w:cs="Arial"/>
          <w:b/>
          <w:sz w:val="22"/>
          <w:szCs w:val="22"/>
        </w:rPr>
        <w:t>Eligible Practice</w:t>
      </w:r>
    </w:p>
    <w:p w:rsidR="009F47D1" w:rsidRDefault="009F47D1" w:rsidP="00C17FA3">
      <w:pPr>
        <w:numPr>
          <w:ilvl w:val="2"/>
          <w:numId w:val="2"/>
        </w:numPr>
        <w:tabs>
          <w:tab w:val="clear" w:pos="1855"/>
        </w:tabs>
        <w:ind w:left="1418" w:hanging="709"/>
        <w:rPr>
          <w:rFonts w:ascii="Arial" w:hAnsi="Arial" w:cs="Arial"/>
          <w:sz w:val="22"/>
          <w:szCs w:val="22"/>
        </w:rPr>
      </w:pPr>
      <w:r>
        <w:rPr>
          <w:rFonts w:ascii="Arial" w:hAnsi="Arial" w:cs="Arial"/>
          <w:sz w:val="22"/>
          <w:szCs w:val="22"/>
        </w:rPr>
        <w:t>A</w:t>
      </w:r>
      <w:r w:rsidRPr="000A58D0">
        <w:rPr>
          <w:rFonts w:ascii="Arial" w:hAnsi="Arial" w:cs="Arial"/>
          <w:sz w:val="22"/>
          <w:szCs w:val="22"/>
        </w:rPr>
        <w:t>n Eligible Practice</w:t>
      </w:r>
      <w:r w:rsidR="00F777BF">
        <w:rPr>
          <w:rFonts w:ascii="Arial" w:hAnsi="Arial" w:cs="Arial"/>
          <w:sz w:val="22"/>
          <w:szCs w:val="22"/>
        </w:rPr>
        <w:t xml:space="preserve"> is a veterinary practice</w:t>
      </w:r>
      <w:r w:rsidRPr="000A58D0">
        <w:rPr>
          <w:rFonts w:ascii="Arial" w:hAnsi="Arial" w:cs="Arial"/>
          <w:sz w:val="22"/>
          <w:szCs w:val="22"/>
        </w:rPr>
        <w:t xml:space="preserve"> </w:t>
      </w:r>
      <w:r w:rsidR="00F777BF">
        <w:rPr>
          <w:rFonts w:ascii="Arial" w:hAnsi="Arial" w:cs="Arial"/>
          <w:sz w:val="22"/>
          <w:szCs w:val="22"/>
        </w:rPr>
        <w:t>having</w:t>
      </w:r>
      <w:r w:rsidRPr="000A58D0">
        <w:rPr>
          <w:rFonts w:ascii="Arial" w:hAnsi="Arial" w:cs="Arial"/>
          <w:sz w:val="22"/>
          <w:szCs w:val="22"/>
        </w:rPr>
        <w:t>:</w:t>
      </w:r>
    </w:p>
    <w:p w:rsidR="009F47D1" w:rsidRDefault="009F47D1" w:rsidP="00C17FA3">
      <w:pPr>
        <w:numPr>
          <w:ilvl w:val="0"/>
          <w:numId w:val="3"/>
        </w:numPr>
        <w:tabs>
          <w:tab w:val="clear" w:pos="1440"/>
        </w:tabs>
        <w:ind w:left="1701" w:hanging="283"/>
        <w:rPr>
          <w:rFonts w:ascii="Arial" w:hAnsi="Arial" w:cs="Arial"/>
          <w:sz w:val="22"/>
          <w:szCs w:val="22"/>
        </w:rPr>
      </w:pPr>
      <w:r w:rsidRPr="000A58D0">
        <w:rPr>
          <w:rFonts w:ascii="Arial" w:hAnsi="Arial" w:cs="Arial"/>
          <w:sz w:val="22"/>
          <w:szCs w:val="22"/>
        </w:rPr>
        <w:t>an Overall Production Animal Focus;</w:t>
      </w:r>
      <w:r>
        <w:rPr>
          <w:rFonts w:ascii="Arial" w:hAnsi="Arial" w:cs="Arial"/>
          <w:sz w:val="22"/>
          <w:szCs w:val="22"/>
        </w:rPr>
        <w:t xml:space="preserve"> </w:t>
      </w:r>
      <w:r w:rsidRPr="00544E24">
        <w:rPr>
          <w:rFonts w:ascii="Arial" w:hAnsi="Arial" w:cs="Arial"/>
          <w:b/>
          <w:sz w:val="22"/>
          <w:szCs w:val="22"/>
          <w:u w:val="single"/>
        </w:rPr>
        <w:t>or</w:t>
      </w:r>
      <w:r>
        <w:rPr>
          <w:rFonts w:ascii="Arial" w:hAnsi="Arial" w:cs="Arial"/>
          <w:sz w:val="22"/>
          <w:szCs w:val="22"/>
        </w:rPr>
        <w:t xml:space="preserve"> is the only </w:t>
      </w:r>
      <w:r w:rsidR="00F777BF">
        <w:rPr>
          <w:rFonts w:ascii="Arial" w:hAnsi="Arial" w:cs="Arial"/>
          <w:sz w:val="22"/>
          <w:szCs w:val="22"/>
        </w:rPr>
        <w:t xml:space="preserve">veterinary </w:t>
      </w:r>
      <w:r>
        <w:rPr>
          <w:rFonts w:ascii="Arial" w:hAnsi="Arial" w:cs="Arial"/>
          <w:sz w:val="22"/>
          <w:szCs w:val="22"/>
        </w:rPr>
        <w:t>practice in the area servicing production animals;</w:t>
      </w:r>
    </w:p>
    <w:p w:rsidR="009F47D1" w:rsidRDefault="009F47D1" w:rsidP="00C17FA3">
      <w:pPr>
        <w:numPr>
          <w:ilvl w:val="0"/>
          <w:numId w:val="3"/>
        </w:numPr>
        <w:tabs>
          <w:tab w:val="clear" w:pos="1440"/>
        </w:tabs>
        <w:ind w:left="1701" w:hanging="283"/>
        <w:rPr>
          <w:rFonts w:ascii="Arial" w:hAnsi="Arial" w:cs="Arial"/>
          <w:sz w:val="22"/>
          <w:szCs w:val="22"/>
        </w:rPr>
      </w:pPr>
      <w:r w:rsidRPr="000A58D0">
        <w:rPr>
          <w:rFonts w:ascii="Arial" w:hAnsi="Arial" w:cs="Arial"/>
          <w:sz w:val="22"/>
          <w:szCs w:val="22"/>
        </w:rPr>
        <w:t>is offering a graduate position that will be Predominately Focused on Production Animals;</w:t>
      </w:r>
    </w:p>
    <w:p w:rsidR="009F47D1" w:rsidRPr="009A2928" w:rsidRDefault="009F47D1" w:rsidP="00C17FA3">
      <w:pPr>
        <w:numPr>
          <w:ilvl w:val="0"/>
          <w:numId w:val="3"/>
        </w:numPr>
        <w:tabs>
          <w:tab w:val="clear" w:pos="1440"/>
        </w:tabs>
        <w:ind w:left="1701" w:hanging="283"/>
        <w:rPr>
          <w:rFonts w:ascii="Arial" w:hAnsi="Arial" w:cs="Arial"/>
          <w:sz w:val="22"/>
          <w:szCs w:val="22"/>
        </w:rPr>
      </w:pPr>
      <w:r w:rsidRPr="000A58D0">
        <w:rPr>
          <w:rFonts w:ascii="Arial" w:hAnsi="Arial" w:cs="Arial"/>
          <w:sz w:val="22"/>
          <w:szCs w:val="22"/>
        </w:rPr>
        <w:t xml:space="preserve">can demonstrate Good employer practices, including having systems in place to </w:t>
      </w:r>
      <w:r w:rsidRPr="009A2928">
        <w:rPr>
          <w:rFonts w:ascii="Arial" w:hAnsi="Arial" w:cs="Arial"/>
          <w:sz w:val="22"/>
          <w:szCs w:val="22"/>
        </w:rPr>
        <w:t>support a graduate’s personal career development; and</w:t>
      </w:r>
    </w:p>
    <w:p w:rsidR="009F47D1" w:rsidRDefault="009F47D1" w:rsidP="00C17FA3">
      <w:pPr>
        <w:numPr>
          <w:ilvl w:val="0"/>
          <w:numId w:val="3"/>
        </w:numPr>
        <w:tabs>
          <w:tab w:val="clear" w:pos="1440"/>
        </w:tabs>
        <w:ind w:left="1701" w:hanging="283"/>
        <w:rPr>
          <w:rFonts w:ascii="Arial" w:hAnsi="Arial" w:cs="Arial"/>
          <w:sz w:val="22"/>
          <w:szCs w:val="22"/>
        </w:rPr>
      </w:pPr>
      <w:proofErr w:type="gramStart"/>
      <w:r w:rsidRPr="009A2928">
        <w:rPr>
          <w:rFonts w:ascii="Arial" w:hAnsi="Arial" w:cs="Arial"/>
          <w:sz w:val="22"/>
          <w:szCs w:val="22"/>
        </w:rPr>
        <w:t>is</w:t>
      </w:r>
      <w:proofErr w:type="gramEnd"/>
      <w:r w:rsidRPr="009A2928">
        <w:rPr>
          <w:rFonts w:ascii="Arial" w:hAnsi="Arial" w:cs="Arial"/>
          <w:sz w:val="22"/>
          <w:szCs w:val="22"/>
        </w:rPr>
        <w:t xml:space="preserve"> at risk of having a shortage, either already apparent or expected within two-three years.</w:t>
      </w:r>
    </w:p>
    <w:p w:rsidR="00BC7FDE" w:rsidRDefault="00BC7FDE" w:rsidP="00BC7FDE">
      <w:pPr>
        <w:ind w:left="1701"/>
        <w:rPr>
          <w:rFonts w:ascii="Arial" w:hAnsi="Arial" w:cs="Arial"/>
          <w:sz w:val="22"/>
          <w:szCs w:val="22"/>
        </w:rPr>
      </w:pPr>
    </w:p>
    <w:p w:rsidR="009F47D1" w:rsidRDefault="00E9180A" w:rsidP="00C17FA3">
      <w:pPr>
        <w:ind w:left="709" w:hanging="709"/>
        <w:rPr>
          <w:rFonts w:ascii="Arial" w:hAnsi="Arial" w:cs="Arial"/>
          <w:b/>
          <w:sz w:val="22"/>
          <w:szCs w:val="22"/>
        </w:rPr>
      </w:pPr>
      <w:r w:rsidRPr="00BC7FDE">
        <w:rPr>
          <w:rFonts w:ascii="Arial" w:hAnsi="Arial" w:cs="Arial"/>
          <w:b/>
          <w:sz w:val="22"/>
          <w:szCs w:val="22"/>
        </w:rPr>
        <w:t>3.3</w:t>
      </w:r>
      <w:r w:rsidR="00BC7FDE">
        <w:rPr>
          <w:rFonts w:ascii="Arial" w:hAnsi="Arial" w:cs="Arial"/>
          <w:b/>
          <w:sz w:val="22"/>
          <w:szCs w:val="22"/>
        </w:rPr>
        <w:tab/>
        <w:t>Preferential listing</w:t>
      </w:r>
    </w:p>
    <w:p w:rsidR="00BC7FDE" w:rsidRDefault="00BC7FDE" w:rsidP="00BC7FDE">
      <w:pPr>
        <w:ind w:left="1440" w:hanging="735"/>
        <w:rPr>
          <w:rFonts w:ascii="Arial" w:hAnsi="Arial" w:cs="Arial"/>
          <w:sz w:val="22"/>
          <w:szCs w:val="22"/>
        </w:rPr>
      </w:pPr>
      <w:r w:rsidRPr="00BC7FDE">
        <w:rPr>
          <w:rFonts w:ascii="Arial" w:hAnsi="Arial" w:cs="Arial"/>
          <w:sz w:val="22"/>
          <w:szCs w:val="22"/>
        </w:rPr>
        <w:t>3.3.1</w:t>
      </w:r>
      <w:r w:rsidRPr="00BC7FDE">
        <w:rPr>
          <w:rFonts w:ascii="Arial" w:hAnsi="Arial" w:cs="Arial"/>
          <w:sz w:val="22"/>
          <w:szCs w:val="22"/>
        </w:rPr>
        <w:tab/>
      </w:r>
      <w:r>
        <w:rPr>
          <w:rFonts w:ascii="Arial" w:hAnsi="Arial" w:cs="Arial"/>
          <w:sz w:val="22"/>
          <w:szCs w:val="22"/>
        </w:rPr>
        <w:t>If a person, in the opinion of MPI, meets all eligibility criteria outlined in clauses 3.1 and 3.3 but is not selected to participate in the Scheme, their name will be placed in a preferential list for that funding round. Should either:</w:t>
      </w:r>
    </w:p>
    <w:p w:rsidR="00BC7FDE" w:rsidRDefault="00BC7FDE" w:rsidP="00BC7FDE">
      <w:pPr>
        <w:ind w:left="1440" w:hanging="735"/>
        <w:rPr>
          <w:rFonts w:ascii="Arial" w:hAnsi="Arial" w:cs="Arial"/>
          <w:sz w:val="22"/>
          <w:szCs w:val="22"/>
        </w:rPr>
      </w:pPr>
      <w:r>
        <w:rPr>
          <w:rFonts w:ascii="Arial" w:hAnsi="Arial" w:cs="Arial"/>
          <w:sz w:val="22"/>
          <w:szCs w:val="22"/>
        </w:rPr>
        <w:tab/>
        <w:t>(a) a selected person from that funding round leave the scheme during the first two years in the scheme ; or</w:t>
      </w:r>
    </w:p>
    <w:p w:rsidR="00BC7FDE" w:rsidRDefault="00303498" w:rsidP="00BC7FDE">
      <w:pPr>
        <w:ind w:left="1440" w:hanging="735"/>
        <w:rPr>
          <w:rFonts w:ascii="Arial" w:hAnsi="Arial" w:cs="Arial"/>
          <w:sz w:val="22"/>
          <w:szCs w:val="22"/>
        </w:rPr>
      </w:pPr>
      <w:r>
        <w:rPr>
          <w:rFonts w:ascii="Arial" w:hAnsi="Arial" w:cs="Arial"/>
          <w:sz w:val="22"/>
          <w:szCs w:val="22"/>
        </w:rPr>
        <w:tab/>
        <w:t xml:space="preserve">(b) </w:t>
      </w:r>
      <w:proofErr w:type="gramStart"/>
      <w:r>
        <w:rPr>
          <w:rFonts w:ascii="Arial" w:hAnsi="Arial" w:cs="Arial"/>
          <w:sz w:val="22"/>
          <w:szCs w:val="22"/>
        </w:rPr>
        <w:t>insufficient</w:t>
      </w:r>
      <w:proofErr w:type="gramEnd"/>
      <w:r>
        <w:rPr>
          <w:rFonts w:ascii="Arial" w:hAnsi="Arial" w:cs="Arial"/>
          <w:sz w:val="22"/>
          <w:szCs w:val="22"/>
        </w:rPr>
        <w:t xml:space="preserve"> applications be received in the following funding round </w:t>
      </w:r>
    </w:p>
    <w:p w:rsidR="001246D9" w:rsidRDefault="001246D9" w:rsidP="00BC7FDE">
      <w:pPr>
        <w:ind w:left="1440" w:hanging="735"/>
        <w:rPr>
          <w:rFonts w:ascii="Arial" w:hAnsi="Arial" w:cs="Arial"/>
          <w:sz w:val="22"/>
          <w:szCs w:val="22"/>
        </w:rPr>
      </w:pPr>
    </w:p>
    <w:p w:rsidR="00303498" w:rsidRDefault="00303498" w:rsidP="00BC7FDE">
      <w:pPr>
        <w:ind w:left="1440" w:hanging="735"/>
        <w:rPr>
          <w:rFonts w:ascii="Arial" w:hAnsi="Arial" w:cs="Arial"/>
          <w:sz w:val="22"/>
          <w:szCs w:val="22"/>
        </w:rPr>
      </w:pPr>
      <w:r>
        <w:rPr>
          <w:rFonts w:ascii="Arial" w:hAnsi="Arial" w:cs="Arial"/>
          <w:sz w:val="22"/>
          <w:szCs w:val="22"/>
        </w:rPr>
        <w:t xml:space="preserve">The first person from the preferential list </w:t>
      </w:r>
      <w:r w:rsidR="001246D9">
        <w:rPr>
          <w:rFonts w:ascii="Arial" w:hAnsi="Arial" w:cs="Arial"/>
          <w:sz w:val="22"/>
          <w:szCs w:val="22"/>
        </w:rPr>
        <w:t>will</w:t>
      </w:r>
      <w:r>
        <w:rPr>
          <w:rFonts w:ascii="Arial" w:hAnsi="Arial" w:cs="Arial"/>
          <w:sz w:val="22"/>
          <w:szCs w:val="22"/>
        </w:rPr>
        <w:t xml:space="preserve"> be offered a position in the scheme.</w:t>
      </w:r>
    </w:p>
    <w:p w:rsidR="00303498" w:rsidRPr="00BC7FDE" w:rsidRDefault="00303498" w:rsidP="00BC7FDE">
      <w:pPr>
        <w:ind w:left="1440" w:hanging="735"/>
        <w:rPr>
          <w:rFonts w:ascii="Arial" w:hAnsi="Arial" w:cs="Arial"/>
          <w:sz w:val="22"/>
          <w:szCs w:val="22"/>
        </w:rPr>
      </w:pPr>
    </w:p>
    <w:p w:rsidR="009F47D1" w:rsidRDefault="009F47D1" w:rsidP="00C17FA3">
      <w:pPr>
        <w:pStyle w:val="Heading1"/>
        <w:numPr>
          <w:ilvl w:val="0"/>
          <w:numId w:val="2"/>
        </w:numPr>
        <w:tabs>
          <w:tab w:val="clear" w:pos="360"/>
        </w:tabs>
        <w:ind w:left="709" w:hanging="709"/>
        <w:rPr>
          <w:sz w:val="24"/>
          <w:szCs w:val="24"/>
        </w:rPr>
      </w:pPr>
      <w:r w:rsidRPr="00A76A6E">
        <w:rPr>
          <w:sz w:val="24"/>
          <w:szCs w:val="24"/>
        </w:rPr>
        <w:t>Incentive Payment</w:t>
      </w:r>
    </w:p>
    <w:p w:rsidR="009F47D1" w:rsidRPr="00A76A6E" w:rsidRDefault="009F47D1" w:rsidP="00C17FA3">
      <w:pPr>
        <w:ind w:left="709" w:hanging="709"/>
        <w:rPr>
          <w:lang w:val="en-GB" w:eastAsia="en-GB"/>
        </w:rPr>
      </w:pPr>
    </w:p>
    <w:p w:rsidR="009F47D1" w:rsidRPr="000A58D0" w:rsidRDefault="009F47D1" w:rsidP="00C17FA3">
      <w:pPr>
        <w:ind w:left="709"/>
        <w:rPr>
          <w:rFonts w:ascii="Arial" w:hAnsi="Arial" w:cs="Arial"/>
          <w:sz w:val="22"/>
          <w:szCs w:val="22"/>
        </w:rPr>
      </w:pPr>
      <w:r w:rsidRPr="000A58D0">
        <w:rPr>
          <w:rFonts w:ascii="Arial" w:hAnsi="Arial" w:cs="Arial"/>
          <w:sz w:val="22"/>
          <w:szCs w:val="22"/>
        </w:rPr>
        <w:t>A Graduate is eligible to receive an incentive payment in accordance with clauses 4.1 and 4.2.</w:t>
      </w:r>
    </w:p>
    <w:p w:rsidR="009F47D1" w:rsidRPr="00544E24" w:rsidRDefault="009F47D1" w:rsidP="00C17FA3">
      <w:pPr>
        <w:pStyle w:val="Heading2"/>
        <w:numPr>
          <w:ilvl w:val="1"/>
          <w:numId w:val="2"/>
        </w:numPr>
        <w:tabs>
          <w:tab w:val="clear" w:pos="792"/>
        </w:tabs>
        <w:ind w:left="709" w:hanging="709"/>
        <w:rPr>
          <w:bCs w:val="0"/>
          <w:szCs w:val="22"/>
          <w:lang w:val="en-NZ"/>
        </w:rPr>
      </w:pPr>
      <w:r w:rsidRPr="009A2928">
        <w:rPr>
          <w:szCs w:val="22"/>
          <w:lang w:val="en-NZ"/>
        </w:rPr>
        <w:t>Bonding Period</w:t>
      </w:r>
    </w:p>
    <w:p w:rsidR="009F47D1" w:rsidRPr="00544E24" w:rsidRDefault="009F47D1" w:rsidP="00C17FA3">
      <w:pPr>
        <w:pStyle w:val="Heading2"/>
        <w:numPr>
          <w:ilvl w:val="2"/>
          <w:numId w:val="2"/>
        </w:numPr>
        <w:tabs>
          <w:tab w:val="clear" w:pos="1855"/>
        </w:tabs>
        <w:ind w:left="1418" w:hanging="709"/>
        <w:rPr>
          <w:b w:val="0"/>
          <w:bCs w:val="0"/>
          <w:szCs w:val="22"/>
          <w:lang w:val="en-NZ"/>
        </w:rPr>
      </w:pPr>
      <w:r w:rsidRPr="00544E24">
        <w:rPr>
          <w:b w:val="0"/>
          <w:szCs w:val="22"/>
        </w:rPr>
        <w:t>The bonding period for Eligible Graduates commences on the first date of employment in an Eligible Practice (the Commencement Date).</w:t>
      </w:r>
    </w:p>
    <w:p w:rsidR="009F47D1" w:rsidRPr="00544E24" w:rsidRDefault="009F47D1" w:rsidP="00C17FA3">
      <w:pPr>
        <w:pStyle w:val="Heading2"/>
        <w:numPr>
          <w:ilvl w:val="2"/>
          <w:numId w:val="2"/>
        </w:numPr>
        <w:tabs>
          <w:tab w:val="clear" w:pos="1855"/>
        </w:tabs>
        <w:ind w:left="1418" w:hanging="709"/>
        <w:rPr>
          <w:b w:val="0"/>
          <w:bCs w:val="0"/>
          <w:szCs w:val="22"/>
          <w:lang w:val="en-NZ"/>
        </w:rPr>
      </w:pPr>
      <w:r w:rsidRPr="00544E24">
        <w:rPr>
          <w:b w:val="0"/>
          <w:szCs w:val="22"/>
        </w:rPr>
        <w:t>The minimum bonding period needed to be completed to receive an incentive payment under the Scheme is three years.</w:t>
      </w:r>
    </w:p>
    <w:p w:rsidR="009F47D1" w:rsidRPr="00544E24" w:rsidRDefault="009F47D1" w:rsidP="00C17FA3">
      <w:pPr>
        <w:pStyle w:val="Heading2"/>
        <w:numPr>
          <w:ilvl w:val="2"/>
          <w:numId w:val="2"/>
        </w:numPr>
        <w:tabs>
          <w:tab w:val="clear" w:pos="1855"/>
        </w:tabs>
        <w:ind w:left="1418" w:hanging="709"/>
        <w:rPr>
          <w:b w:val="0"/>
          <w:bCs w:val="0"/>
          <w:szCs w:val="22"/>
          <w:lang w:val="en-NZ"/>
        </w:rPr>
      </w:pPr>
      <w:r w:rsidRPr="00544E24">
        <w:rPr>
          <w:b w:val="0"/>
          <w:szCs w:val="22"/>
        </w:rPr>
        <w:t>The maximum bonding period allowed under the Scheme is five years.</w:t>
      </w:r>
    </w:p>
    <w:p w:rsidR="009F47D1" w:rsidRPr="00544E24" w:rsidRDefault="009F47D1" w:rsidP="00C17FA3">
      <w:pPr>
        <w:pStyle w:val="Heading2"/>
        <w:numPr>
          <w:ilvl w:val="2"/>
          <w:numId w:val="2"/>
        </w:numPr>
        <w:tabs>
          <w:tab w:val="clear" w:pos="1855"/>
        </w:tabs>
        <w:ind w:left="1418" w:hanging="709"/>
        <w:rPr>
          <w:b w:val="0"/>
          <w:bCs w:val="0"/>
          <w:szCs w:val="22"/>
          <w:lang w:val="en-NZ"/>
        </w:rPr>
      </w:pPr>
      <w:proofErr w:type="gramStart"/>
      <w:r w:rsidRPr="00544E24">
        <w:rPr>
          <w:b w:val="0"/>
          <w:szCs w:val="22"/>
        </w:rPr>
        <w:t>A year means a 12 month period that runs from the Commencement Date to the anniversary date of the Commencement Date and then from anniversary date to anniversary date</w:t>
      </w:r>
      <w:proofErr w:type="gramEnd"/>
      <w:r w:rsidRPr="00544E24">
        <w:rPr>
          <w:b w:val="0"/>
          <w:szCs w:val="22"/>
        </w:rPr>
        <w:t xml:space="preserve"> in years two to five of the Scheme.</w:t>
      </w:r>
    </w:p>
    <w:p w:rsidR="009F47D1" w:rsidRPr="00544E24" w:rsidRDefault="009F47D1" w:rsidP="00C17FA3">
      <w:pPr>
        <w:pStyle w:val="Heading2"/>
        <w:numPr>
          <w:ilvl w:val="1"/>
          <w:numId w:val="2"/>
        </w:numPr>
        <w:tabs>
          <w:tab w:val="clear" w:pos="792"/>
        </w:tabs>
        <w:ind w:left="709" w:hanging="709"/>
        <w:rPr>
          <w:bCs w:val="0"/>
          <w:szCs w:val="22"/>
          <w:lang w:val="en-NZ"/>
        </w:rPr>
      </w:pPr>
      <w:r w:rsidRPr="00544E24">
        <w:rPr>
          <w:szCs w:val="22"/>
          <w:lang w:val="en-NZ"/>
        </w:rPr>
        <w:t>Incentive Payment</w:t>
      </w:r>
    </w:p>
    <w:p w:rsidR="009F47D1" w:rsidRPr="009A2928" w:rsidRDefault="009F47D1" w:rsidP="00C17FA3">
      <w:pPr>
        <w:pStyle w:val="Heading2"/>
        <w:numPr>
          <w:ilvl w:val="2"/>
          <w:numId w:val="2"/>
        </w:numPr>
        <w:tabs>
          <w:tab w:val="clear" w:pos="1855"/>
        </w:tabs>
        <w:ind w:left="1418" w:hanging="709"/>
        <w:rPr>
          <w:b w:val="0"/>
          <w:bCs w:val="0"/>
          <w:szCs w:val="22"/>
          <w:lang w:val="en-NZ"/>
        </w:rPr>
      </w:pPr>
      <w:r w:rsidRPr="009A2928">
        <w:rPr>
          <w:b w:val="0"/>
          <w:szCs w:val="22"/>
        </w:rPr>
        <w:t>Graduates are entitled to incentive payments for each year that they are eligible for the Scheme. The amount of the incentive payment is a taxable amount of $11,000 (NZD) each year.</w:t>
      </w:r>
    </w:p>
    <w:p w:rsidR="009F47D1" w:rsidRPr="009A2928" w:rsidRDefault="009F47D1" w:rsidP="00C17FA3">
      <w:pPr>
        <w:pStyle w:val="Heading2"/>
        <w:numPr>
          <w:ilvl w:val="2"/>
          <w:numId w:val="2"/>
        </w:numPr>
        <w:tabs>
          <w:tab w:val="clear" w:pos="1855"/>
        </w:tabs>
        <w:ind w:left="1418" w:hanging="709"/>
        <w:rPr>
          <w:b w:val="0"/>
          <w:bCs w:val="0"/>
          <w:szCs w:val="22"/>
          <w:lang w:val="en-NZ"/>
        </w:rPr>
      </w:pPr>
      <w:r w:rsidRPr="009A2928">
        <w:rPr>
          <w:b w:val="0"/>
          <w:szCs w:val="22"/>
        </w:rPr>
        <w:t>Payment for the first three years will be made as a lump sum at the end of three years completed in the Scheme, with an annual payment for the fourth and fifth completed year as set out below:</w:t>
      </w:r>
    </w:p>
    <w:p w:rsidR="009F47D1" w:rsidRPr="009A2928" w:rsidRDefault="009F47D1" w:rsidP="00C17FA3">
      <w:pPr>
        <w:ind w:left="709" w:hanging="709"/>
        <w:rPr>
          <w:rFonts w:ascii="Arial" w:hAnsi="Arial" w:cs="Arial"/>
          <w:sz w:val="22"/>
          <w:szCs w:val="22"/>
        </w:rPr>
      </w:pPr>
    </w:p>
    <w:tbl>
      <w:tblPr>
        <w:tblW w:w="7920" w:type="dxa"/>
        <w:tblInd w:w="828" w:type="dxa"/>
        <w:tblLook w:val="01E0"/>
      </w:tblPr>
      <w:tblGrid>
        <w:gridCol w:w="3888"/>
        <w:gridCol w:w="2016"/>
        <w:gridCol w:w="2016"/>
      </w:tblGrid>
      <w:tr w:rsidR="009F47D1" w:rsidRPr="0084726F" w:rsidTr="00A47DAB">
        <w:tc>
          <w:tcPr>
            <w:tcW w:w="3888" w:type="dxa"/>
            <w:tcBorders>
              <w:top w:val="single" w:sz="4" w:space="0" w:color="auto"/>
              <w:bottom w:val="single" w:sz="4" w:space="0" w:color="auto"/>
            </w:tcBorders>
          </w:tcPr>
          <w:p w:rsidR="009F47D1" w:rsidRPr="0084726F" w:rsidRDefault="009F47D1" w:rsidP="00C17FA3">
            <w:pPr>
              <w:pStyle w:val="Tabletext"/>
              <w:ind w:left="709" w:hanging="709"/>
              <w:rPr>
                <w:rFonts w:ascii="Arial" w:hAnsi="Arial"/>
                <w:sz w:val="22"/>
              </w:rPr>
            </w:pPr>
            <w:r w:rsidRPr="0084726F">
              <w:rPr>
                <w:rFonts w:ascii="Arial" w:hAnsi="Arial"/>
                <w:sz w:val="22"/>
              </w:rPr>
              <w:t>Bonding period</w:t>
            </w:r>
          </w:p>
        </w:tc>
        <w:tc>
          <w:tcPr>
            <w:tcW w:w="2016" w:type="dxa"/>
            <w:tcBorders>
              <w:top w:val="single" w:sz="4" w:space="0" w:color="auto"/>
              <w:bottom w:val="single" w:sz="4" w:space="0" w:color="auto"/>
            </w:tcBorders>
          </w:tcPr>
          <w:p w:rsidR="009F47D1" w:rsidRPr="0084726F" w:rsidRDefault="009F47D1" w:rsidP="00C17FA3">
            <w:pPr>
              <w:pStyle w:val="Tabletext"/>
              <w:ind w:left="709" w:hanging="709"/>
              <w:rPr>
                <w:rFonts w:ascii="Arial" w:hAnsi="Arial"/>
                <w:sz w:val="22"/>
              </w:rPr>
            </w:pPr>
            <w:r w:rsidRPr="0084726F">
              <w:rPr>
                <w:rFonts w:ascii="Arial" w:hAnsi="Arial"/>
                <w:sz w:val="22"/>
              </w:rPr>
              <w:t>Incentive Payment</w:t>
            </w:r>
            <w:r w:rsidRPr="0084726F">
              <w:rPr>
                <w:rFonts w:ascii="Arial" w:hAnsi="Arial"/>
                <w:sz w:val="22"/>
              </w:rPr>
              <w:br/>
              <w:t>(before tax)</w:t>
            </w:r>
          </w:p>
        </w:tc>
        <w:tc>
          <w:tcPr>
            <w:tcW w:w="2016" w:type="dxa"/>
            <w:tcBorders>
              <w:top w:val="single" w:sz="4" w:space="0" w:color="auto"/>
              <w:bottom w:val="single" w:sz="4" w:space="0" w:color="auto"/>
            </w:tcBorders>
          </w:tcPr>
          <w:p w:rsidR="009F47D1" w:rsidRPr="0084726F" w:rsidRDefault="009F47D1" w:rsidP="00C17FA3">
            <w:pPr>
              <w:pStyle w:val="Tabletext"/>
              <w:ind w:left="709" w:hanging="709"/>
              <w:rPr>
                <w:rFonts w:ascii="Arial" w:hAnsi="Arial"/>
                <w:sz w:val="22"/>
              </w:rPr>
            </w:pPr>
            <w:r w:rsidRPr="0084726F">
              <w:rPr>
                <w:rFonts w:ascii="Arial" w:hAnsi="Arial"/>
                <w:sz w:val="22"/>
              </w:rPr>
              <w:t>Payments made (before tax)</w:t>
            </w:r>
          </w:p>
        </w:tc>
      </w:tr>
      <w:tr w:rsidR="009F47D1" w:rsidRPr="0084726F" w:rsidTr="00A47DAB">
        <w:tc>
          <w:tcPr>
            <w:tcW w:w="3888" w:type="dxa"/>
            <w:tcBorders>
              <w:top w:val="single" w:sz="4" w:space="0" w:color="auto"/>
            </w:tcBorders>
          </w:tcPr>
          <w:p w:rsidR="009F47D1" w:rsidRPr="0084726F" w:rsidRDefault="009F47D1" w:rsidP="00C17FA3">
            <w:pPr>
              <w:pStyle w:val="Tabletext"/>
              <w:ind w:left="709" w:hanging="709"/>
              <w:rPr>
                <w:rFonts w:ascii="Arial" w:hAnsi="Arial"/>
                <w:sz w:val="22"/>
              </w:rPr>
            </w:pPr>
            <w:r w:rsidRPr="0084726F">
              <w:rPr>
                <w:rFonts w:ascii="Arial" w:hAnsi="Arial"/>
                <w:sz w:val="22"/>
              </w:rPr>
              <w:t>Year 1 completed</w:t>
            </w:r>
          </w:p>
        </w:tc>
        <w:tc>
          <w:tcPr>
            <w:tcW w:w="2016" w:type="dxa"/>
            <w:tcBorders>
              <w:top w:val="single" w:sz="4" w:space="0" w:color="auto"/>
            </w:tcBorders>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c>
          <w:tcPr>
            <w:tcW w:w="2016" w:type="dxa"/>
            <w:tcBorders>
              <w:top w:val="single" w:sz="4" w:space="0" w:color="auto"/>
            </w:tcBorders>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$0</w:t>
            </w:r>
          </w:p>
        </w:tc>
      </w:tr>
      <w:tr w:rsidR="009F47D1" w:rsidRPr="0084726F" w:rsidTr="00A47DAB">
        <w:tc>
          <w:tcPr>
            <w:tcW w:w="3888" w:type="dxa"/>
          </w:tcPr>
          <w:p w:rsidR="009F47D1" w:rsidRPr="0084726F" w:rsidRDefault="009F47D1" w:rsidP="00C17FA3">
            <w:pPr>
              <w:pStyle w:val="Tabletext"/>
              <w:ind w:left="709" w:hanging="709"/>
              <w:rPr>
                <w:rFonts w:ascii="Arial" w:hAnsi="Arial"/>
                <w:sz w:val="22"/>
              </w:rPr>
            </w:pPr>
            <w:r w:rsidRPr="0084726F">
              <w:rPr>
                <w:rFonts w:ascii="Arial" w:hAnsi="Arial"/>
                <w:sz w:val="22"/>
              </w:rPr>
              <w:t>Year 2 completed</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$0</w:t>
            </w:r>
          </w:p>
        </w:tc>
      </w:tr>
      <w:tr w:rsidR="009F47D1" w:rsidRPr="0084726F" w:rsidTr="00A47DAB">
        <w:tc>
          <w:tcPr>
            <w:tcW w:w="3888" w:type="dxa"/>
          </w:tcPr>
          <w:p w:rsidR="009F47D1" w:rsidRPr="0084726F" w:rsidRDefault="009F47D1" w:rsidP="00C17FA3">
            <w:pPr>
              <w:pStyle w:val="Tabletext"/>
              <w:ind w:left="709" w:hanging="709"/>
              <w:rPr>
                <w:rFonts w:ascii="Arial" w:hAnsi="Arial"/>
                <w:sz w:val="22"/>
              </w:rPr>
            </w:pPr>
            <w:r w:rsidRPr="0084726F">
              <w:rPr>
                <w:rFonts w:ascii="Arial" w:hAnsi="Arial"/>
                <w:sz w:val="22"/>
              </w:rPr>
              <w:t>Year 3 completed</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$33,000</w:t>
            </w:r>
          </w:p>
        </w:tc>
      </w:tr>
      <w:tr w:rsidR="009F47D1" w:rsidRPr="0084726F" w:rsidTr="00A47DAB">
        <w:tc>
          <w:tcPr>
            <w:tcW w:w="3888" w:type="dxa"/>
          </w:tcPr>
          <w:p w:rsidR="009F47D1" w:rsidRPr="0084726F" w:rsidRDefault="009F47D1" w:rsidP="00C17FA3">
            <w:pPr>
              <w:pStyle w:val="Tabletext"/>
              <w:ind w:left="709" w:hanging="709"/>
              <w:rPr>
                <w:rFonts w:ascii="Arial" w:hAnsi="Arial"/>
                <w:sz w:val="22"/>
              </w:rPr>
            </w:pPr>
            <w:r w:rsidRPr="0084726F">
              <w:rPr>
                <w:rFonts w:ascii="Arial" w:hAnsi="Arial"/>
                <w:sz w:val="22"/>
              </w:rPr>
              <w:t>Year 4 completed</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r>
      <w:tr w:rsidR="009F47D1" w:rsidRPr="0084726F" w:rsidTr="00A47DAB">
        <w:tc>
          <w:tcPr>
            <w:tcW w:w="3888" w:type="dxa"/>
          </w:tcPr>
          <w:p w:rsidR="009F47D1" w:rsidRPr="0084726F" w:rsidRDefault="009F47D1" w:rsidP="00C17FA3">
            <w:pPr>
              <w:pStyle w:val="Tabletext"/>
              <w:ind w:left="709" w:hanging="709"/>
              <w:rPr>
                <w:rFonts w:ascii="Arial" w:hAnsi="Arial"/>
                <w:sz w:val="22"/>
              </w:rPr>
            </w:pPr>
            <w:r w:rsidRPr="0084726F">
              <w:rPr>
                <w:rFonts w:ascii="Arial" w:hAnsi="Arial"/>
                <w:sz w:val="22"/>
              </w:rPr>
              <w:t>Year 5 completed</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c>
          <w:tcPr>
            <w:tcW w:w="2016" w:type="dxa"/>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$11,000</w:t>
            </w:r>
          </w:p>
        </w:tc>
      </w:tr>
      <w:tr w:rsidR="009F47D1" w:rsidRPr="0084726F" w:rsidTr="00A47DAB">
        <w:tc>
          <w:tcPr>
            <w:tcW w:w="3888" w:type="dxa"/>
            <w:tcBorders>
              <w:bottom w:val="single" w:sz="4" w:space="0" w:color="auto"/>
            </w:tcBorders>
          </w:tcPr>
          <w:p w:rsidR="009F47D1" w:rsidRPr="0084726F" w:rsidRDefault="009F47D1" w:rsidP="00C17FA3">
            <w:pPr>
              <w:pStyle w:val="Tabletext"/>
              <w:ind w:left="709" w:hanging="709"/>
              <w:rPr>
                <w:rFonts w:ascii="Arial" w:hAnsi="Arial"/>
                <w:sz w:val="22"/>
              </w:rPr>
            </w:pPr>
            <w:r w:rsidRPr="0084726F">
              <w:rPr>
                <w:rFonts w:ascii="Arial" w:hAnsi="Arial"/>
                <w:sz w:val="22"/>
              </w:rPr>
              <w:t>TOTAL AMOUNT ELIGIBLE FOR</w:t>
            </w:r>
          </w:p>
        </w:tc>
        <w:tc>
          <w:tcPr>
            <w:tcW w:w="2016" w:type="dxa"/>
            <w:tcBorders>
              <w:bottom w:val="single" w:sz="4" w:space="0" w:color="auto"/>
            </w:tcBorders>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$55,000</w:t>
            </w:r>
          </w:p>
        </w:tc>
        <w:tc>
          <w:tcPr>
            <w:tcW w:w="2016" w:type="dxa"/>
            <w:tcBorders>
              <w:bottom w:val="single" w:sz="4" w:space="0" w:color="auto"/>
            </w:tcBorders>
          </w:tcPr>
          <w:p w:rsidR="009F47D1" w:rsidRPr="0084726F" w:rsidRDefault="009F47D1" w:rsidP="00C17FA3">
            <w:pPr>
              <w:pStyle w:val="Tabletext"/>
              <w:tabs>
                <w:tab w:val="decimal" w:pos="1096"/>
              </w:tabs>
              <w:ind w:left="709" w:hanging="709"/>
              <w:rPr>
                <w:rFonts w:ascii="Arial" w:hAnsi="Arial"/>
                <w:sz w:val="22"/>
              </w:rPr>
            </w:pPr>
            <w:r w:rsidRPr="0084726F">
              <w:rPr>
                <w:rFonts w:ascii="Arial" w:hAnsi="Arial"/>
                <w:sz w:val="22"/>
              </w:rPr>
              <w:t>$55,000</w:t>
            </w:r>
          </w:p>
        </w:tc>
      </w:tr>
    </w:tbl>
    <w:p w:rsidR="009F47D1" w:rsidRPr="009A2928" w:rsidRDefault="009F47D1" w:rsidP="00C17FA3">
      <w:pPr>
        <w:ind w:left="709" w:hanging="709"/>
        <w:rPr>
          <w:rFonts w:ascii="Arial" w:hAnsi="Arial" w:cs="Arial"/>
          <w:sz w:val="22"/>
          <w:szCs w:val="22"/>
        </w:rPr>
      </w:pPr>
    </w:p>
    <w:p w:rsidR="009F47D1" w:rsidRPr="009A2928" w:rsidRDefault="009F47D1" w:rsidP="00C17FA3">
      <w:pPr>
        <w:numPr>
          <w:ilvl w:val="2"/>
          <w:numId w:val="2"/>
        </w:numPr>
        <w:tabs>
          <w:tab w:val="clear" w:pos="1855"/>
        </w:tabs>
        <w:ind w:left="1418" w:hanging="709"/>
        <w:rPr>
          <w:rFonts w:ascii="Arial" w:hAnsi="Arial" w:cs="Arial"/>
          <w:sz w:val="22"/>
          <w:szCs w:val="22"/>
        </w:rPr>
      </w:pPr>
      <w:r>
        <w:rPr>
          <w:rFonts w:ascii="Arial" w:hAnsi="Arial" w:cs="Arial"/>
          <w:sz w:val="22"/>
          <w:szCs w:val="22"/>
        </w:rPr>
        <w:lastRenderedPageBreak/>
        <w:t xml:space="preserve">The Ministry will deduct PAYE and </w:t>
      </w:r>
      <w:r w:rsidR="00EC745C">
        <w:rPr>
          <w:rFonts w:ascii="Arial" w:hAnsi="Arial" w:cs="Arial"/>
          <w:sz w:val="22"/>
          <w:szCs w:val="22"/>
        </w:rPr>
        <w:t xml:space="preserve">any outstanding </w:t>
      </w:r>
      <w:r>
        <w:rPr>
          <w:rFonts w:ascii="Arial" w:hAnsi="Arial" w:cs="Arial"/>
          <w:sz w:val="22"/>
          <w:szCs w:val="22"/>
        </w:rPr>
        <w:t xml:space="preserve">student loan repayment obligations on behalf of the graduates prior to making </w:t>
      </w:r>
      <w:r w:rsidR="00EC745C">
        <w:rPr>
          <w:rFonts w:ascii="Arial" w:hAnsi="Arial" w:cs="Arial"/>
          <w:sz w:val="22"/>
          <w:szCs w:val="22"/>
        </w:rPr>
        <w:t>any</w:t>
      </w:r>
      <w:r>
        <w:rPr>
          <w:rFonts w:ascii="Arial" w:hAnsi="Arial" w:cs="Arial"/>
          <w:sz w:val="22"/>
          <w:szCs w:val="22"/>
        </w:rPr>
        <w:t xml:space="preserve"> incentive payment to the graduate.</w:t>
      </w:r>
    </w:p>
    <w:p w:rsidR="009F47D1" w:rsidRPr="009A2928" w:rsidRDefault="009F47D1" w:rsidP="00C17FA3">
      <w:pPr>
        <w:numPr>
          <w:ilvl w:val="2"/>
          <w:numId w:val="2"/>
        </w:numPr>
        <w:tabs>
          <w:tab w:val="clear" w:pos="1855"/>
        </w:tabs>
        <w:ind w:left="1418" w:hanging="709"/>
        <w:rPr>
          <w:rFonts w:ascii="Arial" w:hAnsi="Arial" w:cs="Arial"/>
          <w:sz w:val="22"/>
          <w:szCs w:val="22"/>
        </w:rPr>
      </w:pPr>
      <w:r>
        <w:rPr>
          <w:rFonts w:ascii="Arial" w:hAnsi="Arial" w:cs="Arial"/>
          <w:sz w:val="22"/>
          <w:szCs w:val="22"/>
        </w:rPr>
        <w:t>MPI will notify eligible graduates when they are due to received incentive payments and request any further information needed to make the payment</w:t>
      </w:r>
      <w:r w:rsidRPr="009A2928">
        <w:rPr>
          <w:rFonts w:ascii="Arial" w:hAnsi="Arial" w:cs="Arial"/>
          <w:sz w:val="22"/>
          <w:szCs w:val="22"/>
        </w:rPr>
        <w:t>.</w:t>
      </w:r>
    </w:p>
    <w:p w:rsidR="009F47D1" w:rsidRPr="000A58D0" w:rsidRDefault="009F47D1" w:rsidP="00C17FA3">
      <w:pPr>
        <w:ind w:left="709" w:hanging="709"/>
        <w:rPr>
          <w:rFonts w:ascii="Arial" w:hAnsi="Arial" w:cs="Arial"/>
          <w:sz w:val="22"/>
          <w:szCs w:val="22"/>
        </w:rPr>
      </w:pPr>
    </w:p>
    <w:p w:rsidR="009F47D1" w:rsidRDefault="009F47D1" w:rsidP="00C17FA3">
      <w:pPr>
        <w:pStyle w:val="Heading1"/>
        <w:numPr>
          <w:ilvl w:val="0"/>
          <w:numId w:val="2"/>
        </w:numPr>
        <w:tabs>
          <w:tab w:val="clear" w:pos="360"/>
        </w:tabs>
        <w:ind w:left="709" w:hanging="709"/>
        <w:rPr>
          <w:sz w:val="24"/>
          <w:szCs w:val="24"/>
          <w:lang w:val="en-NZ"/>
        </w:rPr>
      </w:pPr>
      <w:r w:rsidRPr="00A76A6E">
        <w:rPr>
          <w:sz w:val="24"/>
          <w:szCs w:val="24"/>
          <w:lang w:val="en-NZ"/>
        </w:rPr>
        <w:t>Other Provisions</w:t>
      </w:r>
    </w:p>
    <w:p w:rsidR="009F47D1" w:rsidRPr="00A76A6E" w:rsidRDefault="009F47D1" w:rsidP="00C17FA3">
      <w:pPr>
        <w:ind w:left="709" w:hanging="709"/>
        <w:rPr>
          <w:lang w:eastAsia="en-GB"/>
        </w:rPr>
      </w:pPr>
    </w:p>
    <w:p w:rsidR="009F47D1" w:rsidRDefault="009F47D1" w:rsidP="00C17FA3">
      <w:pPr>
        <w:pStyle w:val="Default"/>
        <w:numPr>
          <w:ilvl w:val="1"/>
          <w:numId w:val="2"/>
        </w:numPr>
        <w:tabs>
          <w:tab w:val="clear" w:pos="792"/>
        </w:tabs>
        <w:ind w:left="709" w:hanging="709"/>
        <w:rPr>
          <w:rFonts w:ascii="Arial" w:hAnsi="Arial" w:cs="Arial"/>
          <w:b/>
          <w:sz w:val="22"/>
          <w:szCs w:val="22"/>
        </w:rPr>
      </w:pPr>
      <w:r w:rsidRPr="00E72CD1">
        <w:rPr>
          <w:rFonts w:ascii="Arial" w:hAnsi="Arial" w:cs="Arial"/>
          <w:b/>
          <w:bCs/>
          <w:sz w:val="22"/>
          <w:szCs w:val="22"/>
        </w:rPr>
        <w:t>Absences or leave</w:t>
      </w:r>
    </w:p>
    <w:p w:rsidR="009F47D1" w:rsidRPr="00E72C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Where a Graduate continues to be in Full</w:t>
      </w:r>
      <w:r>
        <w:rPr>
          <w:rFonts w:ascii="Arial" w:hAnsi="Arial" w:cs="Arial"/>
          <w:sz w:val="22"/>
          <w:szCs w:val="22"/>
        </w:rPr>
        <w:t xml:space="preserve">-time employment in an Eligible </w:t>
      </w:r>
      <w:r w:rsidRPr="000A58D0">
        <w:rPr>
          <w:rFonts w:ascii="Arial" w:hAnsi="Arial" w:cs="Arial"/>
          <w:sz w:val="22"/>
          <w:szCs w:val="22"/>
        </w:rPr>
        <w:t xml:space="preserve">Practice, the Graduate may take absences of up to 14 </w:t>
      </w:r>
      <w:r w:rsidR="00EC745C">
        <w:rPr>
          <w:rFonts w:ascii="Arial" w:hAnsi="Arial" w:cs="Arial"/>
          <w:sz w:val="22"/>
          <w:szCs w:val="22"/>
        </w:rPr>
        <w:t>w</w:t>
      </w:r>
      <w:r w:rsidRPr="000A58D0">
        <w:rPr>
          <w:rFonts w:ascii="Arial" w:hAnsi="Arial" w:cs="Arial"/>
          <w:sz w:val="22"/>
          <w:szCs w:val="22"/>
        </w:rPr>
        <w:t xml:space="preserve">eeks in total in a year, as defined in clause 4.1.4, without affecting the bonding period. Absences mean any leave such as retraining, annual leave, sick leave, and parental leave, which </w:t>
      </w:r>
      <w:proofErr w:type="gramStart"/>
      <w:r w:rsidRPr="000A58D0">
        <w:rPr>
          <w:rFonts w:ascii="Arial" w:hAnsi="Arial" w:cs="Arial"/>
          <w:sz w:val="22"/>
          <w:szCs w:val="22"/>
        </w:rPr>
        <w:t>has</w:t>
      </w:r>
      <w:proofErr w:type="gramEnd"/>
      <w:r w:rsidRPr="000A58D0">
        <w:rPr>
          <w:rFonts w:ascii="Arial" w:hAnsi="Arial" w:cs="Arial"/>
          <w:sz w:val="22"/>
          <w:szCs w:val="22"/>
        </w:rPr>
        <w:t xml:space="preserve"> been agreed to u</w:t>
      </w:r>
      <w:r>
        <w:rPr>
          <w:rFonts w:ascii="Arial" w:hAnsi="Arial" w:cs="Arial"/>
          <w:sz w:val="22"/>
          <w:szCs w:val="22"/>
        </w:rPr>
        <w:t xml:space="preserve">nder the Graduate’s employment </w:t>
      </w:r>
      <w:r w:rsidRPr="000A58D0">
        <w:rPr>
          <w:rFonts w:ascii="Arial" w:hAnsi="Arial" w:cs="Arial"/>
          <w:sz w:val="22"/>
          <w:szCs w:val="22"/>
        </w:rPr>
        <w:t>contract.</w:t>
      </w:r>
    </w:p>
    <w:p w:rsidR="009F47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Where a Gradu</w:t>
      </w:r>
      <w:r w:rsidR="00F777BF">
        <w:rPr>
          <w:rFonts w:ascii="Arial" w:hAnsi="Arial" w:cs="Arial"/>
          <w:sz w:val="22"/>
          <w:szCs w:val="22"/>
        </w:rPr>
        <w:t>ate is absent for more than 14 w</w:t>
      </w:r>
      <w:r w:rsidRPr="000A58D0">
        <w:rPr>
          <w:rFonts w:ascii="Arial" w:hAnsi="Arial" w:cs="Arial"/>
          <w:sz w:val="22"/>
          <w:szCs w:val="22"/>
        </w:rPr>
        <w:t>eek</w:t>
      </w:r>
      <w:r w:rsidR="00F777BF">
        <w:rPr>
          <w:rFonts w:ascii="Arial" w:hAnsi="Arial" w:cs="Arial"/>
          <w:sz w:val="22"/>
          <w:szCs w:val="22"/>
        </w:rPr>
        <w:t>s but less than 24 w</w:t>
      </w:r>
      <w:r w:rsidRPr="000A58D0">
        <w:rPr>
          <w:rFonts w:ascii="Arial" w:hAnsi="Arial" w:cs="Arial"/>
          <w:sz w:val="22"/>
          <w:szCs w:val="22"/>
        </w:rPr>
        <w:t>eeks in a year the amou</w:t>
      </w:r>
      <w:r w:rsidR="00F777BF">
        <w:rPr>
          <w:rFonts w:ascii="Arial" w:hAnsi="Arial" w:cs="Arial"/>
          <w:sz w:val="22"/>
          <w:szCs w:val="22"/>
        </w:rPr>
        <w:t>nt of time taken beyond the 14 w</w:t>
      </w:r>
      <w:r w:rsidRPr="000A58D0">
        <w:rPr>
          <w:rFonts w:ascii="Arial" w:hAnsi="Arial" w:cs="Arial"/>
          <w:sz w:val="22"/>
          <w:szCs w:val="22"/>
        </w:rPr>
        <w:t xml:space="preserve">eeks period will be added to the bonding period before the next incentive payment will be made. </w:t>
      </w:r>
      <w:r w:rsidR="002C6773">
        <w:rPr>
          <w:rFonts w:ascii="Arial" w:hAnsi="Arial" w:cs="Arial"/>
          <w:sz w:val="22"/>
          <w:szCs w:val="22"/>
        </w:rPr>
        <w:t>Where a Graduate is absent for more than 14 w</w:t>
      </w:r>
      <w:r w:rsidR="002C6773" w:rsidRPr="000A58D0">
        <w:rPr>
          <w:rFonts w:ascii="Arial" w:hAnsi="Arial" w:cs="Arial"/>
          <w:sz w:val="22"/>
          <w:szCs w:val="22"/>
        </w:rPr>
        <w:t>eek</w:t>
      </w:r>
      <w:r w:rsidR="002C6773">
        <w:rPr>
          <w:rFonts w:ascii="Arial" w:hAnsi="Arial" w:cs="Arial"/>
          <w:sz w:val="22"/>
          <w:szCs w:val="22"/>
        </w:rPr>
        <w:t>s but less than 24 w</w:t>
      </w:r>
      <w:r w:rsidR="002C6773" w:rsidRPr="000A58D0">
        <w:rPr>
          <w:rFonts w:ascii="Arial" w:hAnsi="Arial" w:cs="Arial"/>
          <w:sz w:val="22"/>
          <w:szCs w:val="22"/>
        </w:rPr>
        <w:t>eeks in a year</w:t>
      </w:r>
      <w:r w:rsidR="002C6773">
        <w:rPr>
          <w:rFonts w:ascii="Arial" w:hAnsi="Arial" w:cs="Arial"/>
          <w:sz w:val="22"/>
          <w:szCs w:val="22"/>
        </w:rPr>
        <w:t xml:space="preserve"> they must advise MPI within in one month of taking this extended leave.</w:t>
      </w:r>
      <w:r w:rsidRPr="000A58D0">
        <w:rPr>
          <w:rFonts w:ascii="Arial" w:hAnsi="Arial" w:cs="Arial"/>
          <w:sz w:val="22"/>
          <w:szCs w:val="22"/>
        </w:rPr>
        <w:t xml:space="preserve"> The anniversary date for the Graduate will be adjusted taking into account the added time i.e. made later.</w:t>
      </w:r>
    </w:p>
    <w:p w:rsidR="009F47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The maximum time that may be added to a bonding period in any year is 10 Weeks (except in the case of parental leave, which is covered by clauses 5.1.6 and 5.1.7). Where this limit is breached MPI will consider whether the Graduate is still eligible for the Scheme and, if not, whether to make a pro rata payment.</w:t>
      </w:r>
    </w:p>
    <w:p w:rsidR="009F47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Where a Graduate anticipates being absent for more than 24 Weeks in a year they must advise MPI as soon as possible prior to taking the absence to enable MPI to determine whether the Graduate is still eligible for the Scheme. MPI will make this decision at its sole discretion, taking into account any factors MPI considers relevant.</w:t>
      </w:r>
    </w:p>
    <w:p w:rsidR="009F47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The bonding period is not affected if a Graduate takes less than 14 Weeks of absences in a year.</w:t>
      </w:r>
    </w:p>
    <w:p w:rsidR="009F47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In the case of an absence due to parental leave, the Graduate may take those absences to which they are entitled under the Parental Leave and Employment Protection Act 1987 (or any legislation that replaces that Act), including maternity leave, partner’s/paternity leave, and extended leave and remain eligible for the Scheme. The anniversary date for the Graduate will be adjusted (i.e. made later) by the amount of parental leave taken in excess of the 14 weeks specified in clause 5.1.2.</w:t>
      </w:r>
    </w:p>
    <w:p w:rsidR="009F47D1" w:rsidRDefault="009F47D1" w:rsidP="00C17FA3">
      <w:pPr>
        <w:pStyle w:val="Default"/>
        <w:numPr>
          <w:ilvl w:val="2"/>
          <w:numId w:val="2"/>
        </w:numPr>
        <w:tabs>
          <w:tab w:val="clear" w:pos="1855"/>
        </w:tabs>
        <w:ind w:left="1418" w:hanging="709"/>
        <w:rPr>
          <w:rFonts w:ascii="Arial" w:hAnsi="Arial" w:cs="Arial"/>
          <w:b/>
          <w:sz w:val="22"/>
          <w:szCs w:val="22"/>
        </w:rPr>
      </w:pPr>
      <w:r w:rsidRPr="000A58D0">
        <w:rPr>
          <w:rFonts w:ascii="Arial" w:hAnsi="Arial" w:cs="Arial"/>
          <w:sz w:val="22"/>
          <w:szCs w:val="22"/>
        </w:rPr>
        <w:t>After an absence due to parental leave under clause 5.1.6, the Graduate must return to Full-time employment to remain eligible for the Scheme. If the Graduate does not return to work Full-time, they will no longer be eligible for the Scheme and the following will apply:</w:t>
      </w:r>
    </w:p>
    <w:p w:rsidR="009F47D1" w:rsidRPr="00E72CD1" w:rsidRDefault="009F47D1" w:rsidP="00C17FA3">
      <w:pPr>
        <w:pStyle w:val="Default"/>
        <w:numPr>
          <w:ilvl w:val="0"/>
          <w:numId w:val="6"/>
        </w:numPr>
        <w:tabs>
          <w:tab w:val="clear" w:pos="1944"/>
        </w:tabs>
        <w:ind w:left="1701" w:hanging="283"/>
        <w:rPr>
          <w:rFonts w:ascii="Arial" w:hAnsi="Arial" w:cs="Arial"/>
          <w:sz w:val="22"/>
          <w:szCs w:val="22"/>
        </w:rPr>
      </w:pPr>
      <w:r w:rsidRPr="000A58D0">
        <w:rPr>
          <w:rFonts w:ascii="Arial" w:hAnsi="Arial" w:cs="Arial"/>
          <w:sz w:val="22"/>
          <w:szCs w:val="22"/>
        </w:rPr>
        <w:t xml:space="preserve">where the Graduate has participated in the Scheme for three or more </w:t>
      </w:r>
      <w:r w:rsidRPr="00E72CD1">
        <w:rPr>
          <w:rFonts w:ascii="Arial" w:hAnsi="Arial" w:cs="Arial"/>
          <w:sz w:val="22"/>
          <w:szCs w:val="22"/>
        </w:rPr>
        <w:t xml:space="preserve">years, they will be entitled to a pro </w:t>
      </w:r>
      <w:proofErr w:type="spellStart"/>
      <w:r w:rsidRPr="00E72CD1">
        <w:rPr>
          <w:rFonts w:ascii="Arial" w:hAnsi="Arial" w:cs="Arial"/>
          <w:sz w:val="22"/>
          <w:szCs w:val="22"/>
        </w:rPr>
        <w:t>rata’d</w:t>
      </w:r>
      <w:proofErr w:type="spellEnd"/>
      <w:r w:rsidRPr="00E72CD1">
        <w:rPr>
          <w:rFonts w:ascii="Arial" w:hAnsi="Arial" w:cs="Arial"/>
          <w:sz w:val="22"/>
          <w:szCs w:val="22"/>
        </w:rPr>
        <w:t xml:space="preserve"> incentive payment covering the period from their commencement date to the last day of Full-time employment</w:t>
      </w:r>
      <w:r>
        <w:rPr>
          <w:rFonts w:ascii="Arial" w:hAnsi="Arial" w:cs="Arial"/>
          <w:sz w:val="22"/>
          <w:szCs w:val="22"/>
        </w:rPr>
        <w:t xml:space="preserve"> before going on Parental Leave.</w:t>
      </w:r>
    </w:p>
    <w:p w:rsidR="009F47D1" w:rsidRPr="00E72CD1" w:rsidRDefault="009F47D1" w:rsidP="00C17FA3">
      <w:pPr>
        <w:pStyle w:val="Default"/>
        <w:numPr>
          <w:ilvl w:val="0"/>
          <w:numId w:val="6"/>
        </w:numPr>
        <w:tabs>
          <w:tab w:val="clear" w:pos="1944"/>
        </w:tabs>
        <w:ind w:left="1701" w:hanging="283"/>
        <w:rPr>
          <w:rFonts w:ascii="Arial" w:hAnsi="Arial" w:cs="Arial"/>
          <w:sz w:val="22"/>
          <w:szCs w:val="22"/>
        </w:rPr>
      </w:pPr>
      <w:proofErr w:type="gramStart"/>
      <w:r w:rsidRPr="00E72CD1">
        <w:rPr>
          <w:rFonts w:ascii="Arial" w:hAnsi="Arial" w:cs="Arial"/>
          <w:sz w:val="22"/>
          <w:szCs w:val="22"/>
        </w:rPr>
        <w:t>where</w:t>
      </w:r>
      <w:proofErr w:type="gramEnd"/>
      <w:r w:rsidRPr="00E72CD1">
        <w:rPr>
          <w:rFonts w:ascii="Arial" w:hAnsi="Arial" w:cs="Arial"/>
          <w:sz w:val="22"/>
          <w:szCs w:val="22"/>
        </w:rPr>
        <w:t xml:space="preserve"> the Graduate has participated in the Scheme for less than three years, they will not be entitle to or receive any of their incentive payments.</w:t>
      </w:r>
    </w:p>
    <w:p w:rsidR="009F47D1" w:rsidRPr="00EB5696" w:rsidRDefault="009F47D1" w:rsidP="00C17FA3">
      <w:pPr>
        <w:pStyle w:val="Default"/>
        <w:numPr>
          <w:ilvl w:val="1"/>
          <w:numId w:val="2"/>
        </w:numPr>
        <w:tabs>
          <w:tab w:val="clear" w:pos="792"/>
        </w:tabs>
        <w:ind w:left="709" w:hanging="709"/>
        <w:rPr>
          <w:rFonts w:ascii="Arial" w:hAnsi="Arial" w:cs="Arial"/>
          <w:b/>
          <w:sz w:val="22"/>
          <w:szCs w:val="22"/>
        </w:rPr>
      </w:pPr>
      <w:r w:rsidRPr="00EB5696">
        <w:rPr>
          <w:rFonts w:ascii="Arial" w:hAnsi="Arial" w:cs="Arial"/>
          <w:b/>
          <w:bCs/>
          <w:sz w:val="22"/>
          <w:szCs w:val="22"/>
          <w:lang w:val="en-NZ"/>
        </w:rPr>
        <w:t>Termination of employment</w:t>
      </w:r>
    </w:p>
    <w:p w:rsidR="009F47D1" w:rsidRDefault="009F47D1" w:rsidP="00C17FA3">
      <w:pPr>
        <w:pStyle w:val="Default"/>
        <w:numPr>
          <w:ilvl w:val="2"/>
          <w:numId w:val="2"/>
        </w:numPr>
        <w:tabs>
          <w:tab w:val="clear" w:pos="1855"/>
        </w:tabs>
        <w:ind w:left="1418" w:hanging="709"/>
        <w:rPr>
          <w:rFonts w:ascii="Arial" w:hAnsi="Arial" w:cs="Arial"/>
          <w:sz w:val="22"/>
          <w:szCs w:val="22"/>
        </w:rPr>
      </w:pPr>
      <w:r w:rsidRPr="00E72CD1">
        <w:rPr>
          <w:rFonts w:ascii="Arial" w:hAnsi="Arial" w:cs="Arial"/>
          <w:sz w:val="22"/>
          <w:szCs w:val="22"/>
        </w:rPr>
        <w:t xml:space="preserve">Where a Graduate’s employment is terminated (for whatever reason) and the Graduate is not moving to another position also eligible for an incentive payment under the Scheme, they will no longer be eligible for incentive payments under </w:t>
      </w:r>
      <w:r w:rsidRPr="00EB5696">
        <w:rPr>
          <w:rFonts w:ascii="Arial" w:hAnsi="Arial" w:cs="Arial"/>
          <w:sz w:val="22"/>
          <w:szCs w:val="22"/>
        </w:rPr>
        <w:t>the Scheme unless exceptional circumstances exist.</w:t>
      </w:r>
    </w:p>
    <w:p w:rsidR="002C6773" w:rsidRPr="00EB5696" w:rsidRDefault="002C6773" w:rsidP="00C17FA3">
      <w:pPr>
        <w:pStyle w:val="Default"/>
        <w:numPr>
          <w:ilvl w:val="2"/>
          <w:numId w:val="2"/>
        </w:numPr>
        <w:tabs>
          <w:tab w:val="clear" w:pos="1855"/>
        </w:tabs>
        <w:ind w:left="1418" w:hanging="709"/>
        <w:rPr>
          <w:rFonts w:ascii="Arial" w:hAnsi="Arial" w:cs="Arial"/>
          <w:sz w:val="22"/>
          <w:szCs w:val="22"/>
        </w:rPr>
      </w:pPr>
      <w:r>
        <w:rPr>
          <w:rFonts w:ascii="Arial" w:hAnsi="Arial" w:cs="Arial"/>
          <w:sz w:val="22"/>
          <w:szCs w:val="22"/>
        </w:rPr>
        <w:t>The Graduate must advise MPI within in one month of terminating their employment.</w:t>
      </w:r>
    </w:p>
    <w:p w:rsidR="009F47D1" w:rsidRPr="00EB5696" w:rsidRDefault="009F47D1" w:rsidP="00C17FA3">
      <w:pPr>
        <w:pStyle w:val="Heading2"/>
        <w:numPr>
          <w:ilvl w:val="1"/>
          <w:numId w:val="2"/>
        </w:numPr>
        <w:tabs>
          <w:tab w:val="clear" w:pos="792"/>
        </w:tabs>
        <w:ind w:left="709" w:hanging="709"/>
        <w:rPr>
          <w:bCs w:val="0"/>
          <w:szCs w:val="22"/>
          <w:lang w:val="en-NZ"/>
        </w:rPr>
      </w:pPr>
      <w:r w:rsidRPr="00EB5696">
        <w:rPr>
          <w:szCs w:val="22"/>
          <w:lang w:val="en-NZ"/>
        </w:rPr>
        <w:lastRenderedPageBreak/>
        <w:t>Exceptional circumstances</w:t>
      </w:r>
    </w:p>
    <w:p w:rsidR="009F47D1" w:rsidRPr="00EB5696" w:rsidRDefault="009F47D1" w:rsidP="00C17FA3">
      <w:pPr>
        <w:pStyle w:val="Heading2"/>
        <w:numPr>
          <w:ilvl w:val="2"/>
          <w:numId w:val="2"/>
        </w:numPr>
        <w:tabs>
          <w:tab w:val="clear" w:pos="1855"/>
        </w:tabs>
        <w:ind w:left="1418" w:hanging="709"/>
        <w:rPr>
          <w:b w:val="0"/>
          <w:bCs w:val="0"/>
          <w:szCs w:val="22"/>
          <w:lang w:val="en-NZ"/>
        </w:rPr>
      </w:pPr>
      <w:r w:rsidRPr="00EB5696">
        <w:rPr>
          <w:b w:val="0"/>
          <w:szCs w:val="22"/>
        </w:rPr>
        <w:t>Where circumstances exist which would ordinarily terminate a Graduate’s eligibility under the Scheme, and these circumstances are exceptional, a Graduate can apply to MPI to remain eligible for incentive payments or a pause as described below. Types of circumstances that might be deemed exceptional include employment disputes, family sickness or bereavement or personal sickness and injury.</w:t>
      </w:r>
    </w:p>
    <w:p w:rsidR="009F47D1" w:rsidRPr="00EB5696" w:rsidRDefault="009F47D1" w:rsidP="00C17FA3">
      <w:pPr>
        <w:pStyle w:val="Heading2"/>
        <w:numPr>
          <w:ilvl w:val="2"/>
          <w:numId w:val="2"/>
        </w:numPr>
        <w:tabs>
          <w:tab w:val="clear" w:pos="1855"/>
        </w:tabs>
        <w:ind w:left="1418" w:hanging="709"/>
        <w:rPr>
          <w:b w:val="0"/>
          <w:bCs w:val="0"/>
          <w:szCs w:val="22"/>
          <w:lang w:val="en-NZ"/>
        </w:rPr>
      </w:pPr>
      <w:r w:rsidRPr="00EB5696">
        <w:rPr>
          <w:b w:val="0"/>
          <w:szCs w:val="22"/>
        </w:rPr>
        <w:t>Where MPI considers that an exceptional circumstance exists a Graduate may receive a pro-rata payment based on the length of the bonding period completed, or be granted a ‘pause’ on the Scheme completion requirements until they resume work in an eligible position which meets the Scheme eligibility criteria. Decisions under this clause are at the sole discretion of MPI.</w:t>
      </w:r>
    </w:p>
    <w:p w:rsidR="009F47D1" w:rsidRPr="00EB5696" w:rsidRDefault="009F47D1" w:rsidP="00C17FA3">
      <w:pPr>
        <w:pStyle w:val="Heading2"/>
        <w:numPr>
          <w:ilvl w:val="2"/>
          <w:numId w:val="2"/>
        </w:numPr>
        <w:tabs>
          <w:tab w:val="clear" w:pos="1855"/>
        </w:tabs>
        <w:ind w:left="1418" w:hanging="709"/>
        <w:rPr>
          <w:b w:val="0"/>
          <w:bCs w:val="0"/>
          <w:szCs w:val="22"/>
          <w:lang w:val="en-NZ"/>
        </w:rPr>
      </w:pPr>
      <w:r w:rsidRPr="00EB5696">
        <w:rPr>
          <w:b w:val="0"/>
          <w:szCs w:val="22"/>
        </w:rPr>
        <w:t>The maximum pause that will be granted under clause 5.3.2 will be 24 weeks and the anniversary date will be adjusted accordingly.</w:t>
      </w:r>
    </w:p>
    <w:p w:rsidR="009F47D1" w:rsidRPr="00EB5696" w:rsidRDefault="009F47D1" w:rsidP="00C17FA3">
      <w:pPr>
        <w:pStyle w:val="Heading2"/>
        <w:numPr>
          <w:ilvl w:val="2"/>
          <w:numId w:val="2"/>
        </w:numPr>
        <w:tabs>
          <w:tab w:val="clear" w:pos="1855"/>
        </w:tabs>
        <w:ind w:left="1418" w:hanging="709"/>
        <w:rPr>
          <w:bCs w:val="0"/>
          <w:szCs w:val="22"/>
          <w:lang w:val="en-NZ"/>
        </w:rPr>
      </w:pPr>
      <w:r w:rsidRPr="00EB5696">
        <w:rPr>
          <w:b w:val="0"/>
          <w:szCs w:val="22"/>
        </w:rPr>
        <w:t>To apply for exemption under “exceptional circumstances” Graduates must apply to MPI within 2 months of their employment ending.</w:t>
      </w:r>
    </w:p>
    <w:p w:rsidR="009F47D1" w:rsidRPr="00EB5696" w:rsidRDefault="009F47D1" w:rsidP="00C17FA3">
      <w:pPr>
        <w:pStyle w:val="Heading2"/>
        <w:numPr>
          <w:ilvl w:val="1"/>
          <w:numId w:val="2"/>
        </w:numPr>
        <w:tabs>
          <w:tab w:val="clear" w:pos="792"/>
        </w:tabs>
        <w:ind w:left="709" w:hanging="709"/>
        <w:rPr>
          <w:bCs w:val="0"/>
          <w:szCs w:val="22"/>
          <w:lang w:val="en-NZ"/>
        </w:rPr>
      </w:pPr>
      <w:r w:rsidRPr="00EB5696">
        <w:rPr>
          <w:szCs w:val="22"/>
          <w:lang w:val="en-NZ"/>
        </w:rPr>
        <w:t>Change of practice</w:t>
      </w:r>
    </w:p>
    <w:p w:rsidR="009F47D1" w:rsidRDefault="009F47D1" w:rsidP="00C17FA3">
      <w:pPr>
        <w:pStyle w:val="Heading2"/>
        <w:numPr>
          <w:ilvl w:val="2"/>
          <w:numId w:val="2"/>
        </w:numPr>
        <w:tabs>
          <w:tab w:val="clear" w:pos="1855"/>
        </w:tabs>
        <w:ind w:left="1418" w:hanging="709"/>
        <w:rPr>
          <w:b w:val="0"/>
          <w:szCs w:val="22"/>
        </w:rPr>
      </w:pPr>
      <w:r w:rsidRPr="00EB5696">
        <w:rPr>
          <w:b w:val="0"/>
          <w:szCs w:val="22"/>
        </w:rPr>
        <w:t xml:space="preserve">If a Graduate changes Practice and their new position is in an Eligible Practice and they meet the eligibility criteria of the Scheme they </w:t>
      </w:r>
      <w:r w:rsidR="002C6773">
        <w:rPr>
          <w:b w:val="0"/>
          <w:szCs w:val="22"/>
        </w:rPr>
        <w:t>must</w:t>
      </w:r>
      <w:r w:rsidRPr="00EB5696">
        <w:rPr>
          <w:b w:val="0"/>
          <w:szCs w:val="22"/>
        </w:rPr>
        <w:t xml:space="preserve"> apply </w:t>
      </w:r>
      <w:r w:rsidR="002C6773">
        <w:rPr>
          <w:b w:val="0"/>
          <w:szCs w:val="22"/>
        </w:rPr>
        <w:t xml:space="preserve">to Transfer their eligibility within </w:t>
      </w:r>
      <w:r w:rsidRPr="00EB5696">
        <w:rPr>
          <w:b w:val="0"/>
          <w:szCs w:val="22"/>
        </w:rPr>
        <w:t>the Scheme.</w:t>
      </w:r>
      <w:r w:rsidR="002C6773">
        <w:rPr>
          <w:b w:val="0"/>
          <w:szCs w:val="22"/>
        </w:rPr>
        <w:t xml:space="preserve"> The application must be made on the Transfer of Practice Application form.</w:t>
      </w:r>
    </w:p>
    <w:p w:rsidR="002C6773" w:rsidRDefault="002C6773" w:rsidP="00C17FA3">
      <w:pPr>
        <w:pStyle w:val="Heading2"/>
        <w:numPr>
          <w:ilvl w:val="2"/>
          <w:numId w:val="2"/>
        </w:numPr>
        <w:tabs>
          <w:tab w:val="clear" w:pos="1855"/>
        </w:tabs>
        <w:ind w:left="1418" w:hanging="709"/>
        <w:rPr>
          <w:b w:val="0"/>
          <w:szCs w:val="22"/>
        </w:rPr>
      </w:pPr>
      <w:r>
        <w:rPr>
          <w:b w:val="0"/>
          <w:szCs w:val="22"/>
        </w:rPr>
        <w:t>Such an application must be made within one month of transferring to the eligible practice</w:t>
      </w:r>
      <w:r w:rsidR="00E76B29">
        <w:rPr>
          <w:b w:val="0"/>
          <w:szCs w:val="22"/>
        </w:rPr>
        <w:t>.</w:t>
      </w:r>
    </w:p>
    <w:p w:rsidR="009F47D1" w:rsidRDefault="009F47D1" w:rsidP="00C17FA3">
      <w:pPr>
        <w:pStyle w:val="Heading2"/>
        <w:numPr>
          <w:ilvl w:val="2"/>
          <w:numId w:val="2"/>
        </w:numPr>
        <w:tabs>
          <w:tab w:val="clear" w:pos="1855"/>
        </w:tabs>
        <w:ind w:left="1418" w:hanging="709"/>
        <w:rPr>
          <w:b w:val="0"/>
          <w:szCs w:val="22"/>
        </w:rPr>
      </w:pPr>
      <w:r w:rsidRPr="00EB5696">
        <w:rPr>
          <w:b w:val="0"/>
          <w:szCs w:val="22"/>
        </w:rPr>
        <w:t>Any time taken between ceasing and recommencing employment will be considered an absence and clause 5.1 applies with necessary modifications.</w:t>
      </w:r>
    </w:p>
    <w:p w:rsidR="009F47D1" w:rsidRPr="0032499B" w:rsidRDefault="009F47D1" w:rsidP="00C17FA3">
      <w:pPr>
        <w:pStyle w:val="ListParagraph"/>
        <w:numPr>
          <w:ilvl w:val="1"/>
          <w:numId w:val="2"/>
        </w:numPr>
        <w:tabs>
          <w:tab w:val="clear" w:pos="792"/>
        </w:tabs>
        <w:ind w:left="709" w:hanging="709"/>
        <w:rPr>
          <w:rFonts w:ascii="Arial" w:hAnsi="Arial" w:cs="Arial"/>
          <w:b/>
          <w:sz w:val="22"/>
          <w:szCs w:val="22"/>
          <w:lang w:val="en-GB" w:eastAsia="en-GB"/>
        </w:rPr>
      </w:pPr>
      <w:r w:rsidRPr="0032499B">
        <w:rPr>
          <w:rFonts w:ascii="Arial" w:hAnsi="Arial" w:cs="Arial"/>
          <w:b/>
          <w:sz w:val="22"/>
          <w:szCs w:val="22"/>
          <w:lang w:val="en-GB" w:eastAsia="en-GB"/>
        </w:rPr>
        <w:t>Variation to Terms and Conditions</w:t>
      </w:r>
    </w:p>
    <w:p w:rsidR="009F47D1" w:rsidRPr="0032499B" w:rsidRDefault="009F47D1" w:rsidP="00C17FA3">
      <w:pPr>
        <w:pStyle w:val="ListParagraph"/>
        <w:numPr>
          <w:ilvl w:val="2"/>
          <w:numId w:val="2"/>
        </w:numPr>
        <w:tabs>
          <w:tab w:val="clear" w:pos="1855"/>
        </w:tabs>
        <w:ind w:left="1418" w:hanging="709"/>
        <w:rPr>
          <w:rFonts w:ascii="Arial" w:hAnsi="Arial" w:cs="Arial"/>
          <w:sz w:val="22"/>
          <w:szCs w:val="22"/>
        </w:rPr>
      </w:pPr>
      <w:r w:rsidRPr="0032499B">
        <w:rPr>
          <w:rFonts w:ascii="Arial" w:hAnsi="Arial" w:cs="Arial"/>
          <w:sz w:val="22"/>
          <w:szCs w:val="22"/>
        </w:rPr>
        <w:t>Should a variation in the terms and conditions be required by MPI, the Graduate will be notified. If MPI do not receive any communications within the timeframe stated in the correspondence, MPI will assume your acceptance of the variation.</w:t>
      </w:r>
    </w:p>
    <w:p w:rsidR="009F47D1" w:rsidRPr="000A58D0" w:rsidRDefault="009F47D1" w:rsidP="00C17FA3">
      <w:pPr>
        <w:pStyle w:val="TRNormal"/>
        <w:ind w:left="709" w:hanging="709"/>
        <w:rPr>
          <w:rFonts w:cs="Arial"/>
          <w:szCs w:val="22"/>
        </w:rPr>
      </w:pPr>
    </w:p>
    <w:p w:rsidR="009F47D1" w:rsidRDefault="009F47D1" w:rsidP="00C17FA3">
      <w:pPr>
        <w:pStyle w:val="Heading1"/>
        <w:numPr>
          <w:ilvl w:val="0"/>
          <w:numId w:val="2"/>
        </w:numPr>
        <w:tabs>
          <w:tab w:val="clear" w:pos="360"/>
        </w:tabs>
        <w:ind w:left="709" w:hanging="709"/>
        <w:rPr>
          <w:sz w:val="24"/>
          <w:szCs w:val="24"/>
          <w:lang w:val="en-NZ"/>
        </w:rPr>
      </w:pPr>
      <w:r w:rsidRPr="00A76A6E">
        <w:rPr>
          <w:sz w:val="24"/>
          <w:szCs w:val="24"/>
          <w:lang w:val="en-NZ"/>
        </w:rPr>
        <w:t>Graduate Responsibilities</w:t>
      </w:r>
    </w:p>
    <w:p w:rsidR="009F47D1" w:rsidRDefault="009F47D1" w:rsidP="00C17FA3">
      <w:pPr>
        <w:ind w:left="709" w:hanging="709"/>
        <w:rPr>
          <w:lang w:eastAsia="en-GB"/>
        </w:rPr>
      </w:pPr>
    </w:p>
    <w:p w:rsidR="009F47D1" w:rsidRDefault="009F47D1" w:rsidP="00C17FA3">
      <w:pPr>
        <w:numPr>
          <w:ilvl w:val="1"/>
          <w:numId w:val="2"/>
        </w:numPr>
        <w:tabs>
          <w:tab w:val="clear" w:pos="792"/>
        </w:tabs>
        <w:ind w:left="709" w:hanging="709"/>
        <w:rPr>
          <w:rFonts w:ascii="Arial" w:hAnsi="Arial" w:cs="Arial"/>
          <w:sz w:val="22"/>
          <w:szCs w:val="22"/>
        </w:rPr>
      </w:pPr>
      <w:r w:rsidRPr="000A58D0">
        <w:rPr>
          <w:rFonts w:ascii="Arial" w:hAnsi="Arial" w:cs="Arial"/>
          <w:sz w:val="22"/>
          <w:szCs w:val="22"/>
        </w:rPr>
        <w:t>Graduates accepted into the Scheme must:</w:t>
      </w:r>
    </w:p>
    <w:p w:rsidR="009F47D1" w:rsidRDefault="009F47D1" w:rsidP="00C17FA3">
      <w:pPr>
        <w:numPr>
          <w:ilvl w:val="0"/>
          <w:numId w:val="7"/>
        </w:numPr>
        <w:tabs>
          <w:tab w:val="clear" w:pos="1440"/>
        </w:tabs>
        <w:ind w:left="1701" w:hanging="283"/>
        <w:rPr>
          <w:rFonts w:ascii="Arial" w:hAnsi="Arial" w:cs="Arial"/>
          <w:sz w:val="22"/>
          <w:szCs w:val="22"/>
        </w:rPr>
      </w:pPr>
      <w:r w:rsidRPr="000A58D0">
        <w:rPr>
          <w:rFonts w:ascii="Arial" w:hAnsi="Arial" w:cs="Arial"/>
          <w:sz w:val="22"/>
          <w:szCs w:val="22"/>
        </w:rPr>
        <w:t>notify MPI of any matter that effects the eligibility Criteria in clause 3.1 to 3.2;</w:t>
      </w:r>
    </w:p>
    <w:p w:rsidR="009F47D1" w:rsidRDefault="009F47D1" w:rsidP="00C17FA3">
      <w:pPr>
        <w:numPr>
          <w:ilvl w:val="0"/>
          <w:numId w:val="7"/>
        </w:numPr>
        <w:tabs>
          <w:tab w:val="clear" w:pos="1440"/>
        </w:tabs>
        <w:ind w:left="1701" w:hanging="283"/>
        <w:rPr>
          <w:rFonts w:ascii="Arial" w:hAnsi="Arial" w:cs="Arial"/>
          <w:sz w:val="22"/>
          <w:szCs w:val="22"/>
        </w:rPr>
      </w:pPr>
      <w:r w:rsidRPr="000A58D0">
        <w:rPr>
          <w:rFonts w:ascii="Arial" w:hAnsi="Arial" w:cs="Arial"/>
          <w:sz w:val="22"/>
          <w:szCs w:val="22"/>
        </w:rPr>
        <w:t>notify MPI of any change of employment;</w:t>
      </w:r>
    </w:p>
    <w:p w:rsidR="009F47D1" w:rsidRDefault="009F47D1" w:rsidP="00C17FA3">
      <w:pPr>
        <w:numPr>
          <w:ilvl w:val="0"/>
          <w:numId w:val="7"/>
        </w:numPr>
        <w:tabs>
          <w:tab w:val="clear" w:pos="1440"/>
        </w:tabs>
        <w:ind w:left="1701" w:hanging="283"/>
        <w:rPr>
          <w:rFonts w:ascii="Arial" w:hAnsi="Arial" w:cs="Arial"/>
          <w:sz w:val="22"/>
          <w:szCs w:val="22"/>
        </w:rPr>
      </w:pPr>
      <w:proofErr w:type="gramStart"/>
      <w:r w:rsidRPr="000A58D0">
        <w:rPr>
          <w:rFonts w:ascii="Arial" w:hAnsi="Arial" w:cs="Arial"/>
          <w:sz w:val="22"/>
          <w:szCs w:val="22"/>
        </w:rPr>
        <w:t>confirm</w:t>
      </w:r>
      <w:proofErr w:type="gramEnd"/>
      <w:r w:rsidRPr="000A58D0">
        <w:rPr>
          <w:rFonts w:ascii="Arial" w:hAnsi="Arial" w:cs="Arial"/>
          <w:sz w:val="22"/>
          <w:szCs w:val="22"/>
        </w:rPr>
        <w:t xml:space="preserve"> their continued eligibility by filling out the Confirmation of Eligibility Form, sent to them by MPI prior to each payment being made, including notification of any absence taken beyond 14 weeks in a 12 month period.</w:t>
      </w:r>
    </w:p>
    <w:p w:rsidR="009F47D1" w:rsidRPr="000A58D0" w:rsidRDefault="009F47D1" w:rsidP="00C17FA3">
      <w:pPr>
        <w:numPr>
          <w:ilvl w:val="1"/>
          <w:numId w:val="2"/>
        </w:numPr>
        <w:tabs>
          <w:tab w:val="clear" w:pos="792"/>
        </w:tabs>
        <w:ind w:left="1418" w:hanging="1418"/>
        <w:rPr>
          <w:rFonts w:ascii="Arial" w:hAnsi="Arial" w:cs="Arial"/>
          <w:sz w:val="22"/>
          <w:szCs w:val="22"/>
        </w:rPr>
      </w:pPr>
      <w:r w:rsidRPr="000A58D0">
        <w:rPr>
          <w:rFonts w:ascii="Arial" w:hAnsi="Arial" w:cs="Arial"/>
          <w:sz w:val="22"/>
          <w:szCs w:val="22"/>
        </w:rPr>
        <w:t>Graduates with a Student Loan account with Inland Revenue must apply any incentive payments they receive under the Scheme to make repayments to Inland Revenue against their student loan.</w:t>
      </w:r>
    </w:p>
    <w:p w:rsidR="009F47D1" w:rsidRPr="000A58D0" w:rsidRDefault="009F47D1" w:rsidP="00C17FA3">
      <w:pPr>
        <w:ind w:left="709" w:hanging="709"/>
        <w:rPr>
          <w:rFonts w:ascii="Arial" w:hAnsi="Arial" w:cs="Arial"/>
          <w:sz w:val="22"/>
          <w:szCs w:val="22"/>
        </w:rPr>
      </w:pPr>
    </w:p>
    <w:p w:rsidR="009F47D1" w:rsidRDefault="009F47D1" w:rsidP="00C17FA3">
      <w:pPr>
        <w:pStyle w:val="Heading1"/>
        <w:numPr>
          <w:ilvl w:val="0"/>
          <w:numId w:val="2"/>
        </w:numPr>
        <w:tabs>
          <w:tab w:val="clear" w:pos="360"/>
        </w:tabs>
        <w:ind w:left="709" w:hanging="709"/>
        <w:rPr>
          <w:sz w:val="24"/>
          <w:szCs w:val="24"/>
          <w:lang w:val="en-NZ"/>
        </w:rPr>
      </w:pPr>
      <w:r w:rsidRPr="00A76A6E">
        <w:rPr>
          <w:sz w:val="24"/>
          <w:szCs w:val="24"/>
          <w:lang w:val="en-NZ"/>
        </w:rPr>
        <w:t>Dispute Resolution Process</w:t>
      </w:r>
    </w:p>
    <w:p w:rsidR="009F47D1" w:rsidRPr="00A76A6E" w:rsidRDefault="009F47D1" w:rsidP="00C17FA3">
      <w:pPr>
        <w:ind w:left="709" w:hanging="709"/>
        <w:rPr>
          <w:lang w:eastAsia="en-GB"/>
        </w:rPr>
      </w:pPr>
    </w:p>
    <w:p w:rsidR="00E76B29" w:rsidRPr="00AA4D8D" w:rsidRDefault="009F47D1" w:rsidP="00C17FA3">
      <w:pPr>
        <w:numPr>
          <w:ilvl w:val="1"/>
          <w:numId w:val="2"/>
        </w:numPr>
        <w:tabs>
          <w:tab w:val="clear" w:pos="792"/>
        </w:tabs>
        <w:ind w:left="1418" w:hanging="1418"/>
        <w:rPr>
          <w:rFonts w:ascii="Arial" w:hAnsi="Arial" w:cs="Arial"/>
          <w:sz w:val="22"/>
          <w:szCs w:val="22"/>
        </w:rPr>
      </w:pPr>
      <w:r w:rsidRPr="000A58D0">
        <w:rPr>
          <w:rFonts w:ascii="Arial" w:hAnsi="Arial" w:cs="Arial"/>
          <w:sz w:val="22"/>
          <w:szCs w:val="22"/>
        </w:rPr>
        <w:t>Should a Graduate disagree with any decision made by MPI, they may outline the reasons in writing to the scheme administrator</w:t>
      </w:r>
      <w:r w:rsidR="00AA4D8D">
        <w:rPr>
          <w:rFonts w:ascii="Arial" w:hAnsi="Arial" w:cs="Arial"/>
          <w:sz w:val="22"/>
          <w:szCs w:val="22"/>
        </w:rPr>
        <w:t xml:space="preserve"> at </w:t>
      </w:r>
      <w:hyperlink r:id="rId8" w:history="1">
        <w:r w:rsidR="00770A94" w:rsidRPr="00885180">
          <w:rPr>
            <w:rStyle w:val="Hyperlink"/>
            <w:rFonts w:ascii="Arial" w:hAnsi="Arial" w:cs="Arial"/>
            <w:sz w:val="22"/>
            <w:szCs w:val="22"/>
          </w:rPr>
          <w:t>funding@mpi.govt.nz</w:t>
        </w:r>
      </w:hyperlink>
      <w:r w:rsidR="00AA4D8D">
        <w:t>.</w:t>
      </w:r>
    </w:p>
    <w:p w:rsidR="009F47D1" w:rsidRPr="000A58D0" w:rsidRDefault="009F47D1" w:rsidP="00C17FA3">
      <w:pPr>
        <w:ind w:left="1418" w:hanging="1418"/>
        <w:rPr>
          <w:rFonts w:ascii="Arial" w:hAnsi="Arial" w:cs="Arial"/>
          <w:sz w:val="22"/>
          <w:szCs w:val="22"/>
        </w:rPr>
      </w:pPr>
    </w:p>
    <w:p w:rsidR="009F47D1" w:rsidRDefault="009F47D1" w:rsidP="00C17FA3">
      <w:pPr>
        <w:numPr>
          <w:ilvl w:val="1"/>
          <w:numId w:val="2"/>
        </w:numPr>
        <w:tabs>
          <w:tab w:val="clear" w:pos="792"/>
        </w:tabs>
        <w:ind w:left="1418" w:hanging="1418"/>
        <w:rPr>
          <w:rFonts w:ascii="Arial" w:hAnsi="Arial" w:cs="Arial"/>
          <w:sz w:val="22"/>
          <w:szCs w:val="22"/>
        </w:rPr>
      </w:pPr>
      <w:r w:rsidRPr="000A58D0">
        <w:rPr>
          <w:rFonts w:ascii="Arial" w:hAnsi="Arial" w:cs="Arial"/>
          <w:sz w:val="22"/>
          <w:szCs w:val="22"/>
        </w:rPr>
        <w:t>A panel will be convened to review the decision made, including a panel member from outside of MPI. Decis</w:t>
      </w:r>
      <w:r>
        <w:rPr>
          <w:rFonts w:ascii="Arial" w:hAnsi="Arial" w:cs="Arial"/>
          <w:sz w:val="22"/>
          <w:szCs w:val="22"/>
        </w:rPr>
        <w:t>ions of the panel will be final.</w:t>
      </w:r>
    </w:p>
    <w:p w:rsidR="00B8508B" w:rsidRDefault="00B8508B"/>
    <w:sectPr w:rsidR="00B8508B" w:rsidSect="004305C0">
      <w:headerReference w:type="default" r:id="rId9"/>
      <w:pgSz w:w="11906" w:h="16838" w:code="9"/>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1D" w:rsidRDefault="008A181D" w:rsidP="009F47D1">
      <w:r>
        <w:separator/>
      </w:r>
    </w:p>
  </w:endnote>
  <w:endnote w:type="continuationSeparator" w:id="0">
    <w:p w:rsidR="008A181D" w:rsidRDefault="008A181D" w:rsidP="009F47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1D" w:rsidRDefault="008A181D" w:rsidP="009F47D1">
      <w:r>
        <w:separator/>
      </w:r>
    </w:p>
  </w:footnote>
  <w:footnote w:type="continuationSeparator" w:id="0">
    <w:p w:rsidR="008A181D" w:rsidRDefault="008A181D" w:rsidP="009F4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22" w:rsidRPr="00CA4524" w:rsidRDefault="0048394F" w:rsidP="00CA48A2">
    <w:pPr>
      <w:pStyle w:val="Header"/>
      <w:jc w:val="center"/>
      <w:rPr>
        <w:rFonts w:ascii="Arial Narrow" w:hAnsi="Arial Narrow" w:cs="Arial"/>
        <w:sz w:val="20"/>
        <w:szCs w:val="20"/>
        <w:lang w:val="en-NZ"/>
      </w:rPr>
    </w:pPr>
    <w:r w:rsidRPr="00CA4524">
      <w:rPr>
        <w:rFonts w:ascii="Arial Narrow" w:hAnsi="Arial Narrow" w:cs="Arial"/>
        <w:sz w:val="20"/>
        <w:szCs w:val="20"/>
        <w:lang w:val="en-NZ"/>
      </w:rPr>
      <w:t>VOLUNTARY BONDING SCHEME FOR VETS –</w:t>
    </w:r>
    <w:r w:rsidR="009F47D1">
      <w:rPr>
        <w:rFonts w:ascii="Arial Narrow" w:hAnsi="Arial Narrow" w:cs="Arial"/>
        <w:sz w:val="20"/>
        <w:szCs w:val="20"/>
        <w:lang w:val="en-NZ"/>
      </w:rPr>
      <w:t xml:space="preserve"> </w:t>
    </w:r>
    <w:r>
      <w:rPr>
        <w:rFonts w:ascii="Arial Narrow" w:hAnsi="Arial Narrow" w:cs="Arial"/>
        <w:sz w:val="20"/>
        <w:szCs w:val="20"/>
        <w:lang w:val="en-NZ"/>
      </w:rPr>
      <w:t>TERMS AND CONDITIONS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52E6"/>
    <w:multiLevelType w:val="hybridMultilevel"/>
    <w:tmpl w:val="F1D8A966"/>
    <w:lvl w:ilvl="0" w:tplc="08090003">
      <w:start w:val="1"/>
      <w:numFmt w:val="bullet"/>
      <w:lvlText w:val="o"/>
      <w:lvlJc w:val="left"/>
      <w:pPr>
        <w:tabs>
          <w:tab w:val="num" w:pos="1451"/>
        </w:tabs>
        <w:ind w:left="1451" w:hanging="360"/>
      </w:pPr>
      <w:rPr>
        <w:rFonts w:ascii="Courier New" w:hAnsi="Courier New" w:cs="Courier New" w:hint="default"/>
        <w:color w:val="auto"/>
      </w:rPr>
    </w:lvl>
    <w:lvl w:ilvl="1" w:tplc="08090003" w:tentative="1">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1">
    <w:nsid w:val="40BD4363"/>
    <w:multiLevelType w:val="hybridMultilevel"/>
    <w:tmpl w:val="BBC06428"/>
    <w:lvl w:ilvl="0" w:tplc="33C8E1E2">
      <w:start w:val="1"/>
      <w:numFmt w:val="bullet"/>
      <w:lvlText w:val=""/>
      <w:lvlJc w:val="left"/>
      <w:pPr>
        <w:tabs>
          <w:tab w:val="num" w:pos="1944"/>
        </w:tabs>
        <w:ind w:left="1944" w:hanging="360"/>
      </w:pPr>
      <w:rPr>
        <w:rFonts w:ascii="Symbol" w:hAnsi="Symbol" w:hint="default"/>
        <w:color w:val="auto"/>
      </w:rPr>
    </w:lvl>
    <w:lvl w:ilvl="1" w:tplc="08090003" w:tentative="1">
      <w:start w:val="1"/>
      <w:numFmt w:val="bullet"/>
      <w:lvlText w:val="o"/>
      <w:lvlJc w:val="left"/>
      <w:pPr>
        <w:tabs>
          <w:tab w:val="num" w:pos="2664"/>
        </w:tabs>
        <w:ind w:left="2664" w:hanging="360"/>
      </w:pPr>
      <w:rPr>
        <w:rFonts w:ascii="Courier New" w:hAnsi="Courier New" w:cs="Courier New" w:hint="default"/>
      </w:rPr>
    </w:lvl>
    <w:lvl w:ilvl="2" w:tplc="08090005" w:tentative="1">
      <w:start w:val="1"/>
      <w:numFmt w:val="bullet"/>
      <w:lvlText w:val=""/>
      <w:lvlJc w:val="left"/>
      <w:pPr>
        <w:tabs>
          <w:tab w:val="num" w:pos="3384"/>
        </w:tabs>
        <w:ind w:left="3384" w:hanging="360"/>
      </w:pPr>
      <w:rPr>
        <w:rFonts w:ascii="Wingdings" w:hAnsi="Wingdings" w:hint="default"/>
      </w:rPr>
    </w:lvl>
    <w:lvl w:ilvl="3" w:tplc="08090001" w:tentative="1">
      <w:start w:val="1"/>
      <w:numFmt w:val="bullet"/>
      <w:lvlText w:val=""/>
      <w:lvlJc w:val="left"/>
      <w:pPr>
        <w:tabs>
          <w:tab w:val="num" w:pos="4104"/>
        </w:tabs>
        <w:ind w:left="4104" w:hanging="360"/>
      </w:pPr>
      <w:rPr>
        <w:rFonts w:ascii="Symbol" w:hAnsi="Symbol" w:hint="default"/>
      </w:rPr>
    </w:lvl>
    <w:lvl w:ilvl="4" w:tplc="08090003" w:tentative="1">
      <w:start w:val="1"/>
      <w:numFmt w:val="bullet"/>
      <w:lvlText w:val="o"/>
      <w:lvlJc w:val="left"/>
      <w:pPr>
        <w:tabs>
          <w:tab w:val="num" w:pos="4824"/>
        </w:tabs>
        <w:ind w:left="4824" w:hanging="360"/>
      </w:pPr>
      <w:rPr>
        <w:rFonts w:ascii="Courier New" w:hAnsi="Courier New" w:cs="Courier New" w:hint="default"/>
      </w:rPr>
    </w:lvl>
    <w:lvl w:ilvl="5" w:tplc="08090005" w:tentative="1">
      <w:start w:val="1"/>
      <w:numFmt w:val="bullet"/>
      <w:lvlText w:val=""/>
      <w:lvlJc w:val="left"/>
      <w:pPr>
        <w:tabs>
          <w:tab w:val="num" w:pos="5544"/>
        </w:tabs>
        <w:ind w:left="5544" w:hanging="360"/>
      </w:pPr>
      <w:rPr>
        <w:rFonts w:ascii="Wingdings" w:hAnsi="Wingdings" w:hint="default"/>
      </w:rPr>
    </w:lvl>
    <w:lvl w:ilvl="6" w:tplc="08090001" w:tentative="1">
      <w:start w:val="1"/>
      <w:numFmt w:val="bullet"/>
      <w:lvlText w:val=""/>
      <w:lvlJc w:val="left"/>
      <w:pPr>
        <w:tabs>
          <w:tab w:val="num" w:pos="6264"/>
        </w:tabs>
        <w:ind w:left="6264" w:hanging="360"/>
      </w:pPr>
      <w:rPr>
        <w:rFonts w:ascii="Symbol" w:hAnsi="Symbol" w:hint="default"/>
      </w:rPr>
    </w:lvl>
    <w:lvl w:ilvl="7" w:tplc="08090003" w:tentative="1">
      <w:start w:val="1"/>
      <w:numFmt w:val="bullet"/>
      <w:lvlText w:val="o"/>
      <w:lvlJc w:val="left"/>
      <w:pPr>
        <w:tabs>
          <w:tab w:val="num" w:pos="6984"/>
        </w:tabs>
        <w:ind w:left="6984" w:hanging="360"/>
      </w:pPr>
      <w:rPr>
        <w:rFonts w:ascii="Courier New" w:hAnsi="Courier New" w:cs="Courier New" w:hint="default"/>
      </w:rPr>
    </w:lvl>
    <w:lvl w:ilvl="8" w:tplc="08090005" w:tentative="1">
      <w:start w:val="1"/>
      <w:numFmt w:val="bullet"/>
      <w:lvlText w:val=""/>
      <w:lvlJc w:val="left"/>
      <w:pPr>
        <w:tabs>
          <w:tab w:val="num" w:pos="7704"/>
        </w:tabs>
        <w:ind w:left="7704" w:hanging="360"/>
      </w:pPr>
      <w:rPr>
        <w:rFonts w:ascii="Wingdings" w:hAnsi="Wingdings" w:hint="default"/>
      </w:rPr>
    </w:lvl>
  </w:abstractNum>
  <w:abstractNum w:abstractNumId="2">
    <w:nsid w:val="488C6803"/>
    <w:multiLevelType w:val="hybridMultilevel"/>
    <w:tmpl w:val="F8A6A0E4"/>
    <w:lvl w:ilvl="0" w:tplc="08090003">
      <w:start w:val="1"/>
      <w:numFmt w:val="bullet"/>
      <w:lvlText w:val="o"/>
      <w:lvlJc w:val="left"/>
      <w:pPr>
        <w:tabs>
          <w:tab w:val="num" w:pos="1451"/>
        </w:tabs>
        <w:ind w:left="1451" w:hanging="360"/>
      </w:pPr>
      <w:rPr>
        <w:rFonts w:ascii="Courier New" w:hAnsi="Courier New" w:cs="Courier New" w:hint="default"/>
        <w:color w:val="auto"/>
      </w:rPr>
    </w:lvl>
    <w:lvl w:ilvl="1" w:tplc="08090003" w:tentative="1">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3">
    <w:nsid w:val="505C2ADA"/>
    <w:multiLevelType w:val="hybridMultilevel"/>
    <w:tmpl w:val="36082CB6"/>
    <w:lvl w:ilvl="0" w:tplc="33C8E1E2">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5B231192"/>
    <w:multiLevelType w:val="multilevel"/>
    <w:tmpl w:val="103622D0"/>
    <w:lvl w:ilvl="0">
      <w:start w:val="1"/>
      <w:numFmt w:val="decimal"/>
      <w:lvlText w:val="%1"/>
      <w:lvlJc w:val="left"/>
      <w:pPr>
        <w:tabs>
          <w:tab w:val="num" w:pos="360"/>
        </w:tabs>
        <w:ind w:left="360" w:hanging="360"/>
      </w:pPr>
      <w:rPr>
        <w:rFonts w:ascii="Arial" w:eastAsia="Times New Roman" w:hAnsi="Arial" w:cs="Arial"/>
        <w:b/>
        <w:i w:val="0"/>
        <w:sz w:val="20"/>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6CDC0B85"/>
    <w:multiLevelType w:val="multilevel"/>
    <w:tmpl w:val="5414E0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55"/>
        </w:tabs>
        <w:ind w:left="1639"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D002C52"/>
    <w:multiLevelType w:val="hybridMultilevel"/>
    <w:tmpl w:val="FF9834BC"/>
    <w:lvl w:ilvl="0" w:tplc="33C8E1E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footnotePr>
    <w:footnote w:id="-1"/>
    <w:footnote w:id="0"/>
  </w:footnotePr>
  <w:endnotePr>
    <w:endnote w:id="-1"/>
    <w:endnote w:id="0"/>
  </w:endnotePr>
  <w:compat/>
  <w:rsids>
    <w:rsidRoot w:val="009F47D1"/>
    <w:rsid w:val="001246D9"/>
    <w:rsid w:val="001829F8"/>
    <w:rsid w:val="001B04A7"/>
    <w:rsid w:val="001B1475"/>
    <w:rsid w:val="001E4C77"/>
    <w:rsid w:val="00236FAD"/>
    <w:rsid w:val="00240016"/>
    <w:rsid w:val="002C6773"/>
    <w:rsid w:val="00303498"/>
    <w:rsid w:val="00386FC7"/>
    <w:rsid w:val="004465AD"/>
    <w:rsid w:val="0048394F"/>
    <w:rsid w:val="004E1575"/>
    <w:rsid w:val="00511875"/>
    <w:rsid w:val="005249B4"/>
    <w:rsid w:val="00524BB4"/>
    <w:rsid w:val="005E6AE4"/>
    <w:rsid w:val="006D4D0E"/>
    <w:rsid w:val="00770A94"/>
    <w:rsid w:val="007E456D"/>
    <w:rsid w:val="00891674"/>
    <w:rsid w:val="008A181D"/>
    <w:rsid w:val="00916E4D"/>
    <w:rsid w:val="00940FF5"/>
    <w:rsid w:val="00965C79"/>
    <w:rsid w:val="0098274C"/>
    <w:rsid w:val="00995CD8"/>
    <w:rsid w:val="009F47D1"/>
    <w:rsid w:val="00AA4D8D"/>
    <w:rsid w:val="00B8508B"/>
    <w:rsid w:val="00BB3466"/>
    <w:rsid w:val="00BC7FDE"/>
    <w:rsid w:val="00C17FA3"/>
    <w:rsid w:val="00C92B74"/>
    <w:rsid w:val="00CC5BC6"/>
    <w:rsid w:val="00CC7C3F"/>
    <w:rsid w:val="00CE7476"/>
    <w:rsid w:val="00DC0011"/>
    <w:rsid w:val="00E25F98"/>
    <w:rsid w:val="00E76B29"/>
    <w:rsid w:val="00E9180A"/>
    <w:rsid w:val="00EC745C"/>
    <w:rsid w:val="00F02FD0"/>
    <w:rsid w:val="00F777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D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47D1"/>
    <w:pPr>
      <w:keepNext/>
      <w:outlineLvl w:val="0"/>
    </w:pPr>
    <w:rPr>
      <w:rFonts w:ascii="Arial" w:hAnsi="Arial" w:cs="Arial"/>
      <w:b/>
      <w:bCs/>
      <w:kern w:val="32"/>
      <w:sz w:val="28"/>
      <w:szCs w:val="32"/>
      <w:lang w:val="en-GB" w:eastAsia="en-GB"/>
    </w:rPr>
  </w:style>
  <w:style w:type="paragraph" w:styleId="Heading2">
    <w:name w:val="heading 2"/>
    <w:basedOn w:val="Normal"/>
    <w:next w:val="Normal"/>
    <w:link w:val="Heading2Char"/>
    <w:qFormat/>
    <w:rsid w:val="009F47D1"/>
    <w:pPr>
      <w:keepNext/>
      <w:outlineLvl w:val="1"/>
    </w:pPr>
    <w:rPr>
      <w:rFonts w:ascii="Arial" w:hAnsi="Arial" w:cs="Arial"/>
      <w:b/>
      <w:bCs/>
      <w:iCs/>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7D1"/>
    <w:rPr>
      <w:rFonts w:ascii="Arial" w:eastAsia="Times New Roman" w:hAnsi="Arial" w:cs="Arial"/>
      <w:b/>
      <w:bCs/>
      <w:kern w:val="32"/>
      <w:sz w:val="28"/>
      <w:szCs w:val="32"/>
      <w:lang w:val="en-GB" w:eastAsia="en-GB"/>
    </w:rPr>
  </w:style>
  <w:style w:type="character" w:customStyle="1" w:styleId="Heading2Char">
    <w:name w:val="Heading 2 Char"/>
    <w:basedOn w:val="DefaultParagraphFont"/>
    <w:link w:val="Heading2"/>
    <w:rsid w:val="009F47D1"/>
    <w:rPr>
      <w:rFonts w:ascii="Arial" w:eastAsia="Times New Roman" w:hAnsi="Arial" w:cs="Arial"/>
      <w:b/>
      <w:bCs/>
      <w:iCs/>
      <w:szCs w:val="28"/>
      <w:lang w:val="en-GB" w:eastAsia="en-GB"/>
    </w:rPr>
  </w:style>
  <w:style w:type="paragraph" w:styleId="Header">
    <w:name w:val="header"/>
    <w:basedOn w:val="Normal"/>
    <w:link w:val="HeaderChar"/>
    <w:rsid w:val="009F47D1"/>
    <w:pPr>
      <w:tabs>
        <w:tab w:val="center" w:pos="4153"/>
        <w:tab w:val="right" w:pos="8306"/>
      </w:tabs>
    </w:pPr>
    <w:rPr>
      <w:szCs w:val="24"/>
      <w:lang w:val="en-GB" w:eastAsia="en-GB"/>
    </w:rPr>
  </w:style>
  <w:style w:type="character" w:customStyle="1" w:styleId="HeaderChar">
    <w:name w:val="Header Char"/>
    <w:basedOn w:val="DefaultParagraphFont"/>
    <w:link w:val="Header"/>
    <w:rsid w:val="009F47D1"/>
    <w:rPr>
      <w:rFonts w:ascii="Times New Roman" w:eastAsia="Times New Roman" w:hAnsi="Times New Roman" w:cs="Times New Roman"/>
      <w:sz w:val="24"/>
      <w:szCs w:val="24"/>
      <w:lang w:val="en-GB" w:eastAsia="en-GB"/>
    </w:rPr>
  </w:style>
  <w:style w:type="paragraph" w:customStyle="1" w:styleId="TRNormal">
    <w:name w:val="_TRNormal"/>
    <w:rsid w:val="009F47D1"/>
    <w:pPr>
      <w:spacing w:after="0" w:line="240" w:lineRule="auto"/>
      <w:ind w:left="567" w:hanging="567"/>
    </w:pPr>
    <w:rPr>
      <w:rFonts w:ascii="Arial" w:eastAsia="Times New Roman" w:hAnsi="Arial" w:cs="Times New Roman"/>
      <w:szCs w:val="20"/>
    </w:rPr>
  </w:style>
  <w:style w:type="paragraph" w:customStyle="1" w:styleId="Tabletext">
    <w:name w:val="Table text"/>
    <w:basedOn w:val="Normal"/>
    <w:link w:val="TabletextChar"/>
    <w:rsid w:val="009F47D1"/>
    <w:rPr>
      <w:rFonts w:ascii="Arial Narrow" w:hAnsi="Arial Narrow" w:cs="Arial"/>
      <w:sz w:val="20"/>
      <w:szCs w:val="22"/>
    </w:rPr>
  </w:style>
  <w:style w:type="character" w:customStyle="1" w:styleId="TabletextChar">
    <w:name w:val="Table text Char"/>
    <w:basedOn w:val="DefaultParagraphFont"/>
    <w:link w:val="Tabletext"/>
    <w:rsid w:val="009F47D1"/>
    <w:rPr>
      <w:rFonts w:ascii="Arial Narrow" w:eastAsia="Times New Roman" w:hAnsi="Arial Narrow" w:cs="Arial"/>
      <w:sz w:val="20"/>
    </w:rPr>
  </w:style>
  <w:style w:type="paragraph" w:customStyle="1" w:styleId="Default">
    <w:name w:val="Default"/>
    <w:rsid w:val="009F47D1"/>
    <w:pPr>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paragraph" w:styleId="ListParagraph">
    <w:name w:val="List Paragraph"/>
    <w:basedOn w:val="Normal"/>
    <w:uiPriority w:val="34"/>
    <w:qFormat/>
    <w:rsid w:val="009F47D1"/>
    <w:pPr>
      <w:ind w:left="720"/>
      <w:contextualSpacing/>
    </w:pPr>
  </w:style>
  <w:style w:type="paragraph" w:styleId="Footer">
    <w:name w:val="footer"/>
    <w:basedOn w:val="Normal"/>
    <w:link w:val="FooterChar"/>
    <w:uiPriority w:val="99"/>
    <w:semiHidden/>
    <w:unhideWhenUsed/>
    <w:rsid w:val="009F47D1"/>
    <w:pPr>
      <w:tabs>
        <w:tab w:val="center" w:pos="4513"/>
        <w:tab w:val="right" w:pos="9026"/>
      </w:tabs>
    </w:pPr>
  </w:style>
  <w:style w:type="character" w:customStyle="1" w:styleId="FooterChar">
    <w:name w:val="Footer Char"/>
    <w:basedOn w:val="DefaultParagraphFont"/>
    <w:link w:val="Footer"/>
    <w:uiPriority w:val="99"/>
    <w:semiHidden/>
    <w:rsid w:val="009F47D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76B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ing@mpi.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CrabtrSa</dc:creator>
  <cp:lastModifiedBy>WilliamN</cp:lastModifiedBy>
  <cp:revision>4</cp:revision>
  <cp:lastPrinted>2013-12-15T22:07:00Z</cp:lastPrinted>
  <dcterms:created xsi:type="dcterms:W3CDTF">2014-12-22T22:33:00Z</dcterms:created>
  <dcterms:modified xsi:type="dcterms:W3CDTF">2015-01-06T21:32:00Z</dcterms:modified>
</cp:coreProperties>
</file>